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5A" w:rsidRPr="008850F1" w:rsidRDefault="00171A09" w:rsidP="00E774D2">
      <w:pPr>
        <w:pStyle w:val="NormalWeb"/>
        <w:rPr>
          <w:rFonts w:asciiTheme="minorHAnsi" w:hAnsiTheme="minorHAnsi"/>
          <w:b/>
          <w:color w:val="0D0D0D" w:themeColor="text1" w:themeTint="F2"/>
          <w:sz w:val="24"/>
          <w:szCs w:val="24"/>
        </w:rPr>
      </w:pPr>
      <w:bookmarkStart w:id="0" w:name="_GoBack"/>
      <w:bookmarkEnd w:id="0"/>
      <w:r w:rsidRPr="008850F1">
        <w:rPr>
          <w:rFonts w:asciiTheme="minorHAnsi" w:hAnsiTheme="minorHAnsi"/>
          <w:b/>
          <w:color w:val="0D0D0D" w:themeColor="text1" w:themeTint="F2"/>
          <w:sz w:val="24"/>
          <w:szCs w:val="24"/>
        </w:rPr>
        <w:t xml:space="preserve">DESCRIPTORES DE LAS AREAS </w:t>
      </w:r>
      <w:r w:rsidR="008073AD">
        <w:rPr>
          <w:rFonts w:asciiTheme="minorHAnsi" w:hAnsiTheme="minorHAnsi"/>
          <w:b/>
          <w:color w:val="0D0D0D" w:themeColor="text1" w:themeTint="F2"/>
          <w:sz w:val="24"/>
          <w:szCs w:val="24"/>
        </w:rPr>
        <w:t xml:space="preserve">TEMÁTICAS </w:t>
      </w:r>
      <w:r w:rsidRPr="008850F1">
        <w:rPr>
          <w:rFonts w:asciiTheme="minorHAnsi" w:hAnsiTheme="minorHAnsi"/>
          <w:b/>
          <w:color w:val="0D0D0D" w:themeColor="text1" w:themeTint="F2"/>
          <w:sz w:val="24"/>
          <w:szCs w:val="24"/>
        </w:rPr>
        <w:t>DE LA AGENCIA ESTATAL DE INVESTIGACIÓN</w:t>
      </w:r>
    </w:p>
    <w:tbl>
      <w:tblPr>
        <w:tblW w:w="8897" w:type="dxa"/>
        <w:tblLayout w:type="fixed"/>
        <w:tblLook w:val="04A0" w:firstRow="1" w:lastRow="0" w:firstColumn="1" w:lastColumn="0" w:noHBand="0" w:noVBand="1"/>
      </w:tblPr>
      <w:tblGrid>
        <w:gridCol w:w="8897"/>
      </w:tblGrid>
      <w:tr w:rsidR="00FF4B7F" w:rsidRPr="008850F1" w:rsidTr="00DA1DD6">
        <w:trPr>
          <w:trHeight w:val="315"/>
        </w:trPr>
        <w:tc>
          <w:tcPr>
            <w:tcW w:w="8897" w:type="dxa"/>
            <w:shd w:val="clear" w:color="auto" w:fill="auto"/>
          </w:tcPr>
          <w:p w:rsidR="007D4A5D" w:rsidRPr="00DA1DD6" w:rsidRDefault="007D4A5D" w:rsidP="00DA1DD6">
            <w:pPr>
              <w:spacing w:after="240"/>
              <w:jc w:val="both"/>
              <w:rPr>
                <w:rFonts w:eastAsia="Times New Roman" w:cstheme="minorHAnsi"/>
                <w:b/>
                <w:color w:val="0D0D0D" w:themeColor="text1" w:themeTint="F2"/>
                <w:sz w:val="24"/>
                <w:szCs w:val="24"/>
                <w:u w:val="single"/>
              </w:rPr>
            </w:pPr>
            <w:r w:rsidRPr="00DA1DD6">
              <w:rPr>
                <w:rFonts w:eastAsia="Times New Roman" w:cstheme="minorHAnsi"/>
                <w:b/>
                <w:color w:val="0D0D0D" w:themeColor="text1" w:themeTint="F2"/>
                <w:sz w:val="24"/>
                <w:szCs w:val="24"/>
                <w:u w:val="single"/>
              </w:rPr>
              <w:t>CIENCIAS MATEMÁTICAS, FÍSICAS, QUÍMICAS E INGENIERÍAS</w:t>
            </w:r>
          </w:p>
          <w:p w:rsidR="007D4A5D" w:rsidRPr="008850F1" w:rsidRDefault="007D4A5D" w:rsidP="00DA1DD6">
            <w:pPr>
              <w:spacing w:after="240"/>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CTQ / Ciencias y tecnologías químicas</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 xml:space="preserve">El área abarca la investigación fundamental u orientada, desde el nivel molecular al macroscópico, los aspectos sobre la composición de la estructura, preparación y propiedades de las substancias naturales y sintéticas o muestras que las contienen, las interacciones y transformaciones que experimentan, el mecanismo de las mismas, la instrumentación para su análisis y la metodología experimental y/o teórica requerida para su estudio. </w:t>
            </w:r>
          </w:p>
          <w:p w:rsidR="007D4A5D"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Incluye también la investigación dirigida a la descripción de los fenómenos físicos, químicos y biológicos implicados en los procesos de producción, fabricación y separación, y a la búsqueda de mejoras en la concepción o en el funcionamiento de las operaciones físicas, químicas o bioquímicas que componen los procesos industriales. También se incluye la investigación de nuevos procesos alternativos y en tecnologías y procesos medioambientales dirigidos a disminuir la contaminación en origen o a paliar sus efectos, incluyendo su estudio desde nivel de laboratorio a su escalado a nivel de planta piloto, desarrollando y dimensionando reactores y equipos de separación, aplicando la simulación y optimización de procesos, el desarrollo de los sistemas de control.</w:t>
            </w:r>
          </w:p>
          <w:p w:rsidR="00DA1DD6" w:rsidRPr="008850F1" w:rsidRDefault="00DA1DD6"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7D4A5D" w:rsidRPr="008850F1" w:rsidRDefault="007D4A5D" w:rsidP="007D4A5D">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IQM / Ingeniería química</w:t>
            </w:r>
          </w:p>
          <w:p w:rsidR="007D4A5D"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QMC / Química</w:t>
            </w:r>
          </w:p>
          <w:p w:rsidR="00DA1DD6" w:rsidRPr="008850F1" w:rsidRDefault="00DA1DD6" w:rsidP="007D4A5D">
            <w:pPr>
              <w:spacing w:after="0"/>
              <w:rPr>
                <w:rFonts w:cstheme="minorHAnsi"/>
                <w:color w:val="0D0D0D" w:themeColor="text1" w:themeTint="F2"/>
                <w:sz w:val="24"/>
                <w:szCs w:val="24"/>
                <w:lang w:val="es-ES_tradnl"/>
              </w:rPr>
            </w:pPr>
          </w:p>
          <w:p w:rsidR="007D4A5D" w:rsidRPr="008850F1" w:rsidRDefault="007D4A5D" w:rsidP="007D4A5D">
            <w:pPr>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EYT / Energía y transporte</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val="es-ES_tradnl" w:eastAsia="en-US"/>
              </w:rPr>
              <w:t xml:space="preserve">Engloba las investigaciones que </w:t>
            </w:r>
            <w:r w:rsidRPr="008850F1">
              <w:rPr>
                <w:rFonts w:asciiTheme="minorHAnsi" w:hAnsiTheme="minorHAnsi" w:cs="Courier New"/>
                <w:color w:val="0D0D0D" w:themeColor="text1" w:themeTint="F2"/>
                <w:sz w:val="24"/>
                <w:szCs w:val="24"/>
                <w:lang w:eastAsia="en-US"/>
              </w:rPr>
              <w:t>tienen como objetivo generar el conocimiento y las tecnologías necesarias para garantizar un suministro energético eficiente y respetuoso con el medio ambiente, así como la generación de nuevos conocimientos que permitan el desarrollo de técnicas novedosas de diseño y gestión de sistemas de transporte, tanto público como privado, urbano como interurbano, de pasajeros como de mercancías, en cualquiera de sus modos posibles: automoción, ferroviario, aéreo y marítimo.</w:t>
            </w:r>
          </w:p>
          <w:p w:rsidR="00DA1DD6" w:rsidRDefault="00DA1DD6"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 xml:space="preserve">Abarca proyectos relacionados con el desarrollo e implementación de las energías renovables que incluyen proyectos relacionados con la energía solar en cualquiera de sus formas y la energía eólica, relacionados tanto con el desarrollo de nuevos componentes como con el desarrollo de tecnologías de almacenamiento, gestión e integración en las redes convencionales. Así mismo se incluyen proyectos relacionados tanto con la energía marina y proyectos cuya investigación está dirigida a la mejora de la eficiencia en la operación de los distintos sistemas de transporte, la reducción de sus </w:t>
            </w:r>
            <w:r w:rsidRPr="008850F1">
              <w:rPr>
                <w:rFonts w:asciiTheme="minorHAnsi" w:hAnsiTheme="minorHAnsi" w:cs="Courier New"/>
                <w:color w:val="0D0D0D" w:themeColor="text1" w:themeTint="F2"/>
                <w:sz w:val="24"/>
                <w:szCs w:val="24"/>
                <w:lang w:eastAsia="en-US"/>
              </w:rPr>
              <w:lastRenderedPageBreak/>
              <w:t>costes y de los impactos ambientales y sociales asociados a su actividad.</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También se incluyen proyectos de carácter transversal con otras áreas de gestión como tecnologías químicas, materiales, ingenierías o arquitectura, entre otras, desde planteamientos orientados al uso energético y no sólo conceptual.</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7D4A5D" w:rsidRPr="008850F1" w:rsidRDefault="007D4A5D" w:rsidP="007D4A5D">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ENE / Energía</w:t>
            </w:r>
          </w:p>
          <w:p w:rsidR="007D4A5D" w:rsidRPr="008850F1" w:rsidRDefault="007D4A5D" w:rsidP="00DA1DD6">
            <w:pPr>
              <w:spacing w:after="24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TRA / Transporte</w:t>
            </w:r>
          </w:p>
          <w:p w:rsidR="007D4A5D" w:rsidRPr="008850F1" w:rsidRDefault="007D4A5D" w:rsidP="00DA1DD6">
            <w:pPr>
              <w:spacing w:after="240"/>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FIS / Ciencias físicas</w:t>
            </w:r>
          </w:p>
          <w:p w:rsidR="007D4A5D" w:rsidRPr="008850F1" w:rsidRDefault="007D4A5D" w:rsidP="007D4A5D">
            <w:pPr>
              <w:spacing w:line="240" w:lineRule="auto"/>
              <w:ind w:hanging="11"/>
              <w:jc w:val="both"/>
              <w:rPr>
                <w:rFonts w:eastAsia="Times New Roman" w:cstheme="minorHAnsi"/>
                <w:color w:val="0D0D0D" w:themeColor="text1" w:themeTint="F2"/>
                <w:sz w:val="24"/>
                <w:szCs w:val="24"/>
                <w:lang w:val="es-ES_tradnl"/>
              </w:rPr>
            </w:pPr>
            <w:r w:rsidRPr="008850F1">
              <w:rPr>
                <w:rFonts w:eastAsia="Times New Roman" w:cstheme="minorHAnsi"/>
                <w:color w:val="0D0D0D" w:themeColor="text1" w:themeTint="F2"/>
                <w:sz w:val="24"/>
                <w:szCs w:val="24"/>
                <w:lang w:val="es-ES_tradnl"/>
              </w:rPr>
              <w:t xml:space="preserve">Cubre los aspectos tanto fundamentales como aplicados de la física, abordando aspectos de la estructura de la materia y sus propiedades ópticas, mecánicas, acústicas, electrónicas y de transporte; física atómica molecular y óptica; física cuántica, información y computación cuánticas; física estadística, sistemas complejos y fenómenos no-lineales; fluidos; nanociencia y nanotecnología; óptica y fotónica; física médica y biofísica. Se abordarán aspectos aplicados de la física, incluidos aquéllos en la frontera  con otras disciplinas. </w:t>
            </w:r>
            <w:r w:rsidRPr="008850F1">
              <w:rPr>
                <w:rFonts w:cstheme="minorHAnsi"/>
                <w:color w:val="0D0D0D" w:themeColor="text1" w:themeTint="F2"/>
                <w:sz w:val="24"/>
                <w:szCs w:val="24"/>
              </w:rPr>
              <w:t>Engloba asimismo investigación teórica y experimental de las partículas fundamentales de la materia, física subatómica y nuclear.  Apoya la explotación científica de experimentos realizados en grandes instalaciones internacionales e investigación en fusión nuclear (</w:t>
            </w:r>
            <w:r w:rsidRPr="008850F1">
              <w:rPr>
                <w:rFonts w:eastAsia="Times New Roman" w:cstheme="minorHAnsi"/>
                <w:color w:val="0D0D0D" w:themeColor="text1" w:themeTint="F2"/>
                <w:sz w:val="24"/>
                <w:szCs w:val="24"/>
                <w:lang w:val="es-ES_tradnl"/>
              </w:rPr>
              <w:t>CERN, ApPEC y NuPECC</w:t>
            </w:r>
            <w:r>
              <w:rPr>
                <w:rFonts w:eastAsia="Times New Roman" w:cstheme="minorHAnsi"/>
                <w:color w:val="0D0D0D" w:themeColor="text1" w:themeTint="F2"/>
                <w:sz w:val="24"/>
                <w:szCs w:val="24"/>
                <w:lang w:val="es-ES_tradnl"/>
              </w:rPr>
              <w:t>)</w:t>
            </w:r>
            <w:r w:rsidRPr="008850F1">
              <w:rPr>
                <w:rFonts w:cstheme="minorHAnsi"/>
                <w:color w:val="0D0D0D" w:themeColor="text1" w:themeTint="F2"/>
                <w:sz w:val="24"/>
                <w:szCs w:val="24"/>
              </w:rPr>
              <w:t xml:space="preserve">. </w:t>
            </w:r>
            <w:r w:rsidRPr="008850F1">
              <w:rPr>
                <w:rFonts w:eastAsia="Times New Roman" w:cstheme="minorHAnsi"/>
                <w:color w:val="0D0D0D" w:themeColor="text1" w:themeTint="F2"/>
                <w:sz w:val="24"/>
                <w:szCs w:val="24"/>
                <w:lang w:val="es-ES_tradnl"/>
              </w:rPr>
              <w:t>Se incluye la investigación espacial y de desarrollo de instrumentación para misiones espaciales, Sistemas Globales de Navegación por Satélite y de los satélites de observación de la Tierra, la experimentación en la Estación Espacial Internacional, en globos estratosféricos y en torres de caída libre, entre otros. Engloba los estudios de los cuerpos celestes y del Universo, así como los desarrollos tecnológicos precisos para su observación. Estas investigaciones, ya sean teóricas u observacionales, pueden adoptar un punto de vista mecánico, físico, químico, astrobiológico o astrogeológico, y pueden estar dirigidas al Sol, el Sistema Solar, los exoplanetas, las estrellas, la materia interestelar, las galaxias, los cúmulos de galaxias y la Cosmología. Se consideran todas las tecnologías involucradas en la observación astronómica contemporánea desde Tierra, la investigación espacial y el desarrollo de instrumentación para misiones espaciales, así como el desarrollo y aplicación de técnicas computacionales y modelización de datos astronómicos, experimentos en la Estación Espacial Internacional, globos estratosféricos, entre otros.</w:t>
            </w:r>
          </w:p>
          <w:p w:rsidR="007D4A5D" w:rsidRPr="008850F1" w:rsidRDefault="007D4A5D" w:rsidP="007D4A5D">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7D4A5D" w:rsidRPr="008850F1" w:rsidRDefault="007D4A5D" w:rsidP="007D4A5D">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AYA / Astronomía y astrofísica</w:t>
            </w:r>
          </w:p>
          <w:p w:rsidR="007D4A5D" w:rsidRPr="008850F1" w:rsidRDefault="007D4A5D" w:rsidP="007D4A5D">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ESP / Investigación espacial</w:t>
            </w:r>
          </w:p>
          <w:p w:rsidR="007D4A5D" w:rsidRPr="008850F1" w:rsidRDefault="007D4A5D" w:rsidP="00DA1DD6">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FFP / Física fundamental y de partículas</w:t>
            </w:r>
          </w:p>
          <w:p w:rsidR="007D4A5D" w:rsidRPr="008850F1" w:rsidRDefault="007D4A5D" w:rsidP="007D4A5D">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FYA / Física y sus aplicaciones</w:t>
            </w:r>
          </w:p>
          <w:p w:rsidR="007D4A5D" w:rsidRDefault="007D4A5D" w:rsidP="007D4A5D">
            <w:pPr>
              <w:rPr>
                <w:rFonts w:eastAsia="Times New Roman" w:cstheme="minorHAnsi"/>
                <w:b/>
                <w:color w:val="0D0D0D" w:themeColor="text1" w:themeTint="F2"/>
                <w:sz w:val="24"/>
                <w:szCs w:val="24"/>
              </w:rPr>
            </w:pPr>
          </w:p>
          <w:p w:rsidR="007D4A5D" w:rsidRPr="008850F1" w:rsidRDefault="007D4A5D" w:rsidP="007D4A5D">
            <w:pPr>
              <w:rPr>
                <w:rFonts w:asciiTheme="minorHAnsi" w:hAnsiTheme="minorHAnsi" w:cs="Courier New"/>
                <w:color w:val="0D0D0D" w:themeColor="text1" w:themeTint="F2"/>
                <w:sz w:val="24"/>
                <w:szCs w:val="24"/>
                <w:lang w:eastAsia="en-US"/>
              </w:rPr>
            </w:pPr>
            <w:r w:rsidRPr="008850F1">
              <w:rPr>
                <w:rFonts w:eastAsia="Times New Roman" w:cstheme="minorHAnsi"/>
                <w:b/>
                <w:color w:val="0D0D0D" w:themeColor="text1" w:themeTint="F2"/>
                <w:sz w:val="24"/>
                <w:szCs w:val="24"/>
                <w:lang w:val="es-ES_tradnl"/>
              </w:rPr>
              <w:lastRenderedPageBreak/>
              <w:t>MAT / Ciencias y tecnologías de materiales</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El área comprende toda la investigación relacionada con el diseño, preparación, caracterización y aplicación de materiales. Su tema central es la relación entre estructura (a cualquier escala de longitud) y propiedades. Siendo un campo marcadamente interdisciplinar, suele involucrar en los proyectos que aborda elementos tanto teóricos como experimentales de la física y la química, presentando en numerosas ocasiones aspectos relacionados con la biología y la ingeniería. Los objetivos que se persiguen son tanto de carácter fundamental, centrados en la generación de nuevo conocimiento, como aplicado, orientados a la obtención de nuevos materiales que pueden mejorar la calidad de vida de las personas.</w:t>
            </w:r>
          </w:p>
          <w:p w:rsidR="007D4A5D" w:rsidRPr="008850F1" w:rsidRDefault="007D4A5D" w:rsidP="00DA1DD6">
            <w:pPr>
              <w:autoSpaceDE w:val="0"/>
              <w:autoSpaceDN w:val="0"/>
              <w:adjustRightInd w:val="0"/>
              <w:spacing w:after="12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Las subáreas en las que se encuentra dividida engloban, en su conjunto, la práctica totalidad de la actividad que se desarrolla en nuestro país en ciencia y tecnología de materiales, considerando que ciertos ámbitos, como el de los materiales para biomedicina o para la energía y medio ambiente, presentan características comunes con las subáreas dedicadas a materiales funcionales y estructurales. Dentro del área de materiales se lleva a cabo en la actualidad gran parte de la investigación en nanociencia y nanotecnología.</w:t>
            </w:r>
          </w:p>
          <w:p w:rsidR="007D4A5D" w:rsidRPr="008850F1" w:rsidRDefault="007D4A5D" w:rsidP="00DA1DD6">
            <w:pPr>
              <w:spacing w:after="120"/>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7D4A5D" w:rsidRDefault="007D4A5D" w:rsidP="007D4A5D">
            <w:pPr>
              <w:spacing w:line="240" w:lineRule="auto"/>
              <w:contextualSpacing/>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 xml:space="preserve">BMA / Materiales para biomedicina </w:t>
            </w:r>
          </w:p>
          <w:p w:rsidR="007D4A5D" w:rsidRPr="008850F1" w:rsidRDefault="007D4A5D" w:rsidP="007D4A5D">
            <w:pPr>
              <w:spacing w:line="240" w:lineRule="auto"/>
              <w:contextualSpacing/>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MEN / Materiales para la energía y el medio ambiente</w:t>
            </w:r>
          </w:p>
          <w:p w:rsidR="007D4A5D" w:rsidRDefault="007D4A5D" w:rsidP="007D4A5D">
            <w:pPr>
              <w:spacing w:line="240" w:lineRule="auto"/>
              <w:contextualSpacing/>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MES / Materiales estructurales</w:t>
            </w:r>
          </w:p>
          <w:p w:rsidR="007D4A5D" w:rsidRDefault="007D4A5D" w:rsidP="007D4A5D">
            <w:pPr>
              <w:spacing w:line="240" w:lineRule="auto"/>
              <w:contextualSpacing/>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 xml:space="preserve">MFU / Materiales con </w:t>
            </w:r>
            <w:r>
              <w:rPr>
                <w:rFonts w:cstheme="minorHAnsi"/>
                <w:color w:val="0D0D0D" w:themeColor="text1" w:themeTint="F2"/>
                <w:sz w:val="24"/>
                <w:szCs w:val="24"/>
                <w:lang w:val="es-ES_tradnl"/>
              </w:rPr>
              <w:t>f</w:t>
            </w:r>
            <w:r w:rsidRPr="008850F1">
              <w:rPr>
                <w:rFonts w:cstheme="minorHAnsi"/>
                <w:color w:val="0D0D0D" w:themeColor="text1" w:themeTint="F2"/>
                <w:sz w:val="24"/>
                <w:szCs w:val="24"/>
                <w:lang w:val="es-ES_tradnl"/>
              </w:rPr>
              <w:t xml:space="preserve">uncionalidad </w:t>
            </w:r>
            <w:r>
              <w:rPr>
                <w:rFonts w:cstheme="minorHAnsi"/>
                <w:color w:val="0D0D0D" w:themeColor="text1" w:themeTint="F2"/>
                <w:sz w:val="24"/>
                <w:szCs w:val="24"/>
                <w:lang w:val="es-ES_tradnl"/>
              </w:rPr>
              <w:t>eléctrica, m</w:t>
            </w:r>
            <w:r w:rsidRPr="008850F1">
              <w:rPr>
                <w:rFonts w:cstheme="minorHAnsi"/>
                <w:color w:val="0D0D0D" w:themeColor="text1" w:themeTint="F2"/>
                <w:sz w:val="24"/>
                <w:szCs w:val="24"/>
                <w:lang w:val="es-ES_tradnl"/>
              </w:rPr>
              <w:t xml:space="preserve">agnética, </w:t>
            </w:r>
            <w:r>
              <w:rPr>
                <w:rFonts w:cstheme="minorHAnsi"/>
                <w:color w:val="0D0D0D" w:themeColor="text1" w:themeTint="F2"/>
                <w:sz w:val="24"/>
                <w:szCs w:val="24"/>
                <w:lang w:val="es-ES_tradnl"/>
              </w:rPr>
              <w:t>ó</w:t>
            </w:r>
            <w:r w:rsidRPr="008850F1">
              <w:rPr>
                <w:rFonts w:cstheme="minorHAnsi"/>
                <w:color w:val="0D0D0D" w:themeColor="text1" w:themeTint="F2"/>
                <w:sz w:val="24"/>
                <w:szCs w:val="24"/>
                <w:lang w:val="es-ES_tradnl"/>
              </w:rPr>
              <w:t xml:space="preserve">ptica o </w:t>
            </w:r>
            <w:r>
              <w:rPr>
                <w:rFonts w:cstheme="minorHAnsi"/>
                <w:color w:val="0D0D0D" w:themeColor="text1" w:themeTint="F2"/>
                <w:sz w:val="24"/>
                <w:szCs w:val="24"/>
                <w:lang w:val="es-ES_tradnl"/>
              </w:rPr>
              <w:t>t</w:t>
            </w:r>
            <w:r w:rsidRPr="008850F1">
              <w:rPr>
                <w:rFonts w:cstheme="minorHAnsi"/>
                <w:color w:val="0D0D0D" w:themeColor="text1" w:themeTint="F2"/>
                <w:sz w:val="24"/>
                <w:szCs w:val="24"/>
                <w:lang w:val="es-ES_tradnl"/>
              </w:rPr>
              <w:t>érmica.</w:t>
            </w:r>
          </w:p>
          <w:p w:rsidR="007D4A5D" w:rsidRPr="008850F1" w:rsidRDefault="007D4A5D" w:rsidP="007D4A5D">
            <w:pPr>
              <w:spacing w:line="240" w:lineRule="auto"/>
              <w:rPr>
                <w:rFonts w:cstheme="minorHAnsi"/>
                <w:color w:val="0D0D0D" w:themeColor="text1" w:themeTint="F2"/>
                <w:sz w:val="24"/>
                <w:szCs w:val="24"/>
                <w:lang w:val="es-ES_tradnl"/>
              </w:rPr>
            </w:pPr>
          </w:p>
          <w:p w:rsidR="007D4A5D" w:rsidRPr="008850F1" w:rsidRDefault="007D4A5D" w:rsidP="007D4A5D">
            <w:pPr>
              <w:jc w:val="both"/>
              <w:rPr>
                <w:rFonts w:eastAsia="Times New Roman" w:cstheme="minorHAnsi"/>
                <w:b/>
                <w:color w:val="0D0D0D" w:themeColor="text1" w:themeTint="F2"/>
                <w:sz w:val="24"/>
                <w:szCs w:val="24"/>
              </w:rPr>
            </w:pPr>
            <w:r w:rsidRPr="008850F1">
              <w:rPr>
                <w:rFonts w:eastAsia="Times New Roman" w:cstheme="minorHAnsi"/>
                <w:b/>
                <w:color w:val="0D0D0D" w:themeColor="text1" w:themeTint="F2"/>
                <w:sz w:val="24"/>
                <w:szCs w:val="24"/>
              </w:rPr>
              <w:t>MTM</w:t>
            </w:r>
            <w:r w:rsidRPr="008850F1">
              <w:rPr>
                <w:rFonts w:eastAsia="Times New Roman" w:cstheme="minorHAnsi"/>
                <w:b/>
                <w:color w:val="0D0D0D" w:themeColor="text1" w:themeTint="F2"/>
                <w:sz w:val="24"/>
                <w:szCs w:val="24"/>
                <w:lang w:val="es-ES_tradnl"/>
              </w:rPr>
              <w:t xml:space="preserve"> / </w:t>
            </w:r>
            <w:r w:rsidRPr="008850F1">
              <w:rPr>
                <w:rFonts w:eastAsia="Times New Roman" w:cstheme="minorHAnsi"/>
                <w:b/>
                <w:color w:val="0D0D0D" w:themeColor="text1" w:themeTint="F2"/>
                <w:sz w:val="24"/>
                <w:szCs w:val="24"/>
              </w:rPr>
              <w:t>Ciencias matemáticas</w:t>
            </w:r>
          </w:p>
          <w:p w:rsidR="007D4A5D" w:rsidRPr="008850F1" w:rsidRDefault="007D4A5D" w:rsidP="00DA1DD6">
            <w:pPr>
              <w:spacing w:after="0" w:line="240" w:lineRule="auto"/>
              <w:jc w:val="both"/>
              <w:rPr>
                <w:rFonts w:eastAsia="Times New Roman" w:cstheme="minorHAnsi"/>
                <w:color w:val="0D0D0D" w:themeColor="text1" w:themeTint="F2"/>
                <w:sz w:val="24"/>
                <w:szCs w:val="24"/>
              </w:rPr>
            </w:pPr>
            <w:r w:rsidRPr="008850F1">
              <w:rPr>
                <w:rFonts w:asciiTheme="minorHAnsi" w:eastAsia="Times New Roman" w:hAnsiTheme="minorHAnsi" w:cstheme="minorHAnsi"/>
                <w:color w:val="0D0D0D" w:themeColor="text1" w:themeTint="F2"/>
                <w:sz w:val="24"/>
                <w:szCs w:val="24"/>
                <w:lang w:val="es-ES_tradnl"/>
              </w:rPr>
              <w:t>Al área de Matemáticas le corresponde el ámbito de investigación que abarca tanto el desarrollo de las matemáticas en sí mismas, como su aplicación y transferencia hacia el resto de áreas. Dicho ámbito incluye: el álgebra y la teoría de números, el análisis matemático, la estadística e investigación operativa, la geometría y topología y la matemática aplicada.</w:t>
            </w:r>
          </w:p>
          <w:p w:rsidR="007D4A5D" w:rsidRPr="008850F1" w:rsidRDefault="007D4A5D" w:rsidP="00DA1DD6">
            <w:pPr>
              <w:spacing w:line="240" w:lineRule="auto"/>
              <w:rPr>
                <w:rFonts w:cstheme="minorHAnsi"/>
                <w:color w:val="0D0D0D" w:themeColor="text1" w:themeTint="F2"/>
                <w:sz w:val="24"/>
                <w:szCs w:val="24"/>
                <w:lang w:val="es-ES_tradnl"/>
              </w:rPr>
            </w:pPr>
          </w:p>
          <w:p w:rsidR="007D4A5D" w:rsidRPr="008850F1" w:rsidRDefault="007D4A5D" w:rsidP="007D4A5D">
            <w:pPr>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PIN / Producción industrial, ingeniería civil e ingenierías para la sociedad</w:t>
            </w:r>
          </w:p>
          <w:p w:rsidR="007D4A5D" w:rsidRPr="008850F1" w:rsidRDefault="007D4A5D" w:rsidP="007D4A5D">
            <w:pPr>
              <w:spacing w:line="240" w:lineRule="auto"/>
              <w:jc w:val="both"/>
              <w:rPr>
                <w:rFonts w:eastAsia="Times New Roman" w:cstheme="minorHAnsi"/>
                <w:color w:val="0D0D0D" w:themeColor="text1" w:themeTint="F2"/>
                <w:sz w:val="24"/>
                <w:szCs w:val="24"/>
                <w:lang w:val="es-ES_tradnl"/>
              </w:rPr>
            </w:pPr>
            <w:r w:rsidRPr="008850F1">
              <w:rPr>
                <w:rFonts w:eastAsia="Times New Roman" w:cstheme="minorHAnsi"/>
                <w:color w:val="0D0D0D" w:themeColor="text1" w:themeTint="F2"/>
                <w:sz w:val="24"/>
                <w:szCs w:val="24"/>
                <w:lang w:val="es-ES_tradnl"/>
              </w:rPr>
              <w:t>Engloba  líneas de investigación, tanto fundamentales como aplicadas, en el ámbito del diseño y la producción industrial y de las ingenierías Mecánica, Naval y Aeronáutica, Eléctrica, Electrónica y Automática, incluyendo métodos analíticos, numéricos y experimentales. También engloba las investigaciones del ámbito de la Ingeniería Biomédica en lo que se refiere a la aplicación de los principios y métodos propios de la ingeniería para la solución de problemas en biología y medicina, métodos de valoración, diagnóstico y rehabilitación, desarrollo de sensores, procesado de imágenes, telemedicina, robótica, entre otros.</w:t>
            </w:r>
          </w:p>
          <w:p w:rsidR="007D4A5D" w:rsidRPr="008850F1" w:rsidRDefault="007D4A5D" w:rsidP="007D4A5D">
            <w:pPr>
              <w:spacing w:line="240" w:lineRule="auto"/>
              <w:jc w:val="both"/>
              <w:rPr>
                <w:rFonts w:eastAsia="Times New Roman" w:cstheme="minorHAnsi"/>
                <w:color w:val="0D0D0D" w:themeColor="text1" w:themeTint="F2"/>
                <w:sz w:val="24"/>
                <w:szCs w:val="24"/>
                <w:lang w:val="es-ES_tradnl"/>
              </w:rPr>
            </w:pPr>
            <w:r w:rsidRPr="008850F1">
              <w:rPr>
                <w:color w:val="0D0D0D" w:themeColor="text1" w:themeTint="F2"/>
                <w:sz w:val="24"/>
                <w:szCs w:val="24"/>
                <w:lang w:val="es-ES_tradnl"/>
              </w:rPr>
              <w:lastRenderedPageBreak/>
              <w:t>El área incluye también las investigaciones del ámbito de la Ingeniería civil y Arquitectura, la planificación, diseño, construcción, conservación y control de las infraestructuras civiles, así como la relativa a las construcciones arquitectónicas, urbanismo y ordenación del territorio.</w:t>
            </w:r>
          </w:p>
          <w:p w:rsidR="007D4A5D" w:rsidRPr="008850F1" w:rsidRDefault="007D4A5D" w:rsidP="007D4A5D">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IBI / Ingeniería biomédica</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ICA / Ingeniería civil y arquitectura</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IEA / Ingeniería eléctrica, electrónica y automática</w:t>
            </w:r>
          </w:p>
          <w:p w:rsidR="007D4A5D" w:rsidRPr="008850F1" w:rsidRDefault="007D4A5D" w:rsidP="00DA1DD6">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INA / Ingeniería mecánica, naval y aeronáutica</w:t>
            </w:r>
          </w:p>
          <w:p w:rsidR="007D4A5D" w:rsidRPr="008850F1" w:rsidRDefault="007D4A5D" w:rsidP="00DA1DD6">
            <w:pPr>
              <w:spacing w:before="200" w:after="240" w:line="240" w:lineRule="auto"/>
              <w:rPr>
                <w:rFonts w:eastAsia="Times New Roman" w:cstheme="minorHAnsi"/>
                <w:b/>
                <w:color w:val="0D0D0D" w:themeColor="text1" w:themeTint="F2"/>
                <w:sz w:val="24"/>
                <w:szCs w:val="24"/>
                <w:lang w:val="es-ES_tradnl"/>
              </w:rPr>
            </w:pPr>
            <w:r w:rsidRPr="008850F1">
              <w:rPr>
                <w:rFonts w:asciiTheme="minorHAnsi" w:hAnsiTheme="minorHAnsi"/>
                <w:color w:val="0D0D0D" w:themeColor="text1" w:themeTint="F2"/>
                <w:sz w:val="24"/>
                <w:szCs w:val="24"/>
              </w:rPr>
              <w:br/>
            </w:r>
            <w:r w:rsidR="00DA1DD6">
              <w:rPr>
                <w:rFonts w:eastAsia="Times New Roman" w:cstheme="minorHAnsi"/>
                <w:b/>
                <w:color w:val="0D0D0D" w:themeColor="text1" w:themeTint="F2"/>
                <w:sz w:val="24"/>
                <w:szCs w:val="24"/>
                <w:lang w:val="es-ES_tradnl"/>
              </w:rPr>
              <w:t xml:space="preserve">TIC / </w:t>
            </w:r>
            <w:r w:rsidRPr="008850F1">
              <w:rPr>
                <w:rFonts w:eastAsia="Times New Roman" w:cstheme="minorHAnsi"/>
                <w:b/>
                <w:color w:val="0D0D0D" w:themeColor="text1" w:themeTint="F2"/>
                <w:sz w:val="24"/>
                <w:szCs w:val="24"/>
                <w:lang w:val="es-ES_tradnl"/>
              </w:rPr>
              <w:t>Tecnologías de la información y de las comunicaciones</w:t>
            </w:r>
          </w:p>
          <w:p w:rsidR="007D4A5D" w:rsidRPr="008850F1" w:rsidRDefault="007D4A5D" w:rsidP="007D4A5D">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El área cubre las tecnologías para el desarrollo de dispositivos y sistemas electrónicos y fotónicos de forma general, que pueden ser aplicados en múltiples ámbitos, pero que se caracterizan por su desarrollo tecnológico, así como las tecnologías orientadas al manejo y transferencia de información utilizando típicamente señales electromagnéticas a través de cables y medios inalámbricos, y dispositivos electrónicos y ópticos para su gestión, transmisión, recepción y encaminamiento. Incluye los procesos micro y nanoelectrónicos e integración de nuevos materiales funcionales, tecnologías, simulación y modelización para componentes electrónicos, integración heterogénea de microsistemas, micro/nano sensores y actuadores, lab-on-a-chip, dispositivos de potencia y fotovoltaicos, dispositivos para alta frecuencia (THz), electrónica impresa y orgánica, dispositivos y sensores ópticos, fotónicos, plasmónicos y basados en fibras ópticas, tecnologías de integración 3D,  circuitos y sistemas. El área incluye igualmente la investigación sobre métodos y procedimientos para el procesamiento de señales (audio, video, biológicas, de comunicaciones…) y el tratamiento de la información en ellas contenida,  las tecnologías de capa física: medios de transmisión, circuitos electrónicos analógicos y digitales para comunicaciones, sistemas radiantes, subsistemas de radiofrecuencia, tecnologías de comunicaciones ópticas y las tecnologías de red: protocolos de comunicaciones, arquitecturas de Internet, ingeniería de tráfico, definición por software de redes, seguridad y gestión de redes.</w:t>
            </w:r>
          </w:p>
          <w:p w:rsidR="007D4A5D" w:rsidRPr="00DA1DD6" w:rsidRDefault="007D4A5D" w:rsidP="00DA1DD6">
            <w:pPr>
              <w:spacing w:line="240" w:lineRule="auto"/>
              <w:ind w:right="34"/>
              <w:jc w:val="both"/>
              <w:rPr>
                <w:rFonts w:asciiTheme="minorHAnsi" w:eastAsia="Times New Roman" w:hAnsiTheme="minorHAnsi" w:cstheme="minorHAnsi"/>
                <w:color w:val="0D0D0D" w:themeColor="text1" w:themeTint="F2"/>
                <w:sz w:val="24"/>
                <w:szCs w:val="24"/>
                <w:lang w:val="es-ES_tradnl" w:eastAsia="en-US"/>
              </w:rPr>
            </w:pPr>
            <w:r w:rsidRPr="008850F1">
              <w:rPr>
                <w:rFonts w:asciiTheme="minorHAnsi" w:hAnsiTheme="minorHAnsi" w:cs="Courier New"/>
                <w:color w:val="0D0D0D" w:themeColor="text1" w:themeTint="F2"/>
                <w:sz w:val="24"/>
                <w:szCs w:val="24"/>
                <w:lang w:eastAsia="en-US"/>
              </w:rPr>
              <w:t xml:space="preserve">El área engloba también las investigaciones relacionadas con los fundamentos de la computación, incluyendo el diseño y análisis de algoritmos secuenciales, paralelos o distribuidos, la teoría de la computación, los métodos formales o los lenguajes de programación. Comprende también la ingeniería del software y las bases de datos, incluyendo, la ingeniería de requisitos, el modelado y diseño de software, las pruebas de software, la arquitectura de sistemas software o los sistemas orientados a servicios. Engloba, igualmente, la arquitectura de computadores, la computación de altas prestaciones, los sistemas distribuidos, las redes de computadores, tanto las locales como las no locales, y la seguridad de los sistemas. Asimismo incluye los sistemas inteligentes, el aprendizaje computacional, el reconocimiento de formas y el procesamiento del lenguaje natural. Por último, también engloba los sistemas </w:t>
            </w:r>
            <w:r w:rsidRPr="008850F1">
              <w:rPr>
                <w:rFonts w:asciiTheme="minorHAnsi" w:hAnsiTheme="minorHAnsi" w:cs="Courier New"/>
                <w:color w:val="0D0D0D" w:themeColor="text1" w:themeTint="F2"/>
                <w:sz w:val="24"/>
                <w:szCs w:val="24"/>
                <w:lang w:eastAsia="en-US"/>
              </w:rPr>
              <w:lastRenderedPageBreak/>
              <w:t xml:space="preserve">multimedia, la informática gráfica, la geometría computacional, la realidad virtual, la </w:t>
            </w:r>
            <w:r w:rsidRPr="00DA1DD6">
              <w:rPr>
                <w:rFonts w:asciiTheme="minorHAnsi" w:eastAsia="Times New Roman" w:hAnsiTheme="minorHAnsi" w:cstheme="minorHAnsi"/>
                <w:color w:val="0D0D0D" w:themeColor="text1" w:themeTint="F2"/>
                <w:sz w:val="24"/>
                <w:szCs w:val="24"/>
                <w:lang w:val="es-ES_tradnl" w:eastAsia="en-US"/>
              </w:rPr>
              <w:t xml:space="preserve">realidad aumentada o el procesamiento de imagen. </w:t>
            </w:r>
          </w:p>
          <w:p w:rsidR="007D4A5D" w:rsidRPr="00DA1DD6" w:rsidRDefault="007D4A5D" w:rsidP="00DA1DD6">
            <w:pPr>
              <w:spacing w:line="240" w:lineRule="auto"/>
              <w:ind w:right="34"/>
              <w:jc w:val="both"/>
              <w:rPr>
                <w:rFonts w:asciiTheme="minorHAnsi" w:eastAsia="Times New Roman" w:hAnsiTheme="minorHAnsi" w:cstheme="minorHAnsi"/>
                <w:b/>
                <w:color w:val="0D0D0D" w:themeColor="text1" w:themeTint="F2"/>
                <w:sz w:val="24"/>
                <w:szCs w:val="24"/>
                <w:lang w:val="es-ES_tradnl" w:eastAsia="en-US"/>
              </w:rPr>
            </w:pPr>
            <w:r w:rsidRPr="00DA1DD6">
              <w:rPr>
                <w:rFonts w:asciiTheme="minorHAnsi" w:eastAsia="Times New Roman" w:hAnsiTheme="minorHAnsi" w:cstheme="minorHAnsi"/>
                <w:b/>
                <w:color w:val="0D0D0D" w:themeColor="text1" w:themeTint="F2"/>
                <w:sz w:val="24"/>
                <w:szCs w:val="24"/>
                <w:lang w:val="es-ES_tradnl" w:eastAsia="en-US"/>
              </w:rPr>
              <w:t>Subáreas</w:t>
            </w:r>
          </w:p>
          <w:p w:rsidR="007D4A5D" w:rsidRDefault="007D4A5D" w:rsidP="00DA1DD6">
            <w:pPr>
              <w:spacing w:after="0" w:line="240" w:lineRule="auto"/>
              <w:ind w:right="34"/>
              <w:jc w:val="both"/>
              <w:rPr>
                <w:rFonts w:cstheme="minorHAnsi"/>
                <w:color w:val="0D0D0D" w:themeColor="text1" w:themeTint="F2"/>
                <w:sz w:val="24"/>
                <w:szCs w:val="24"/>
                <w:lang w:val="es-ES_tradnl"/>
              </w:rPr>
            </w:pPr>
            <w:r w:rsidRPr="00DA1DD6">
              <w:rPr>
                <w:rFonts w:asciiTheme="minorHAnsi" w:eastAsia="Times New Roman" w:hAnsiTheme="minorHAnsi" w:cstheme="minorHAnsi"/>
                <w:color w:val="0D0D0D" w:themeColor="text1" w:themeTint="F2"/>
                <w:sz w:val="24"/>
                <w:szCs w:val="24"/>
                <w:lang w:val="es-ES_tradnl" w:eastAsia="en-US"/>
              </w:rPr>
              <w:t>INF / Ciencias</w:t>
            </w:r>
            <w:r w:rsidRPr="008850F1">
              <w:rPr>
                <w:rFonts w:cstheme="minorHAnsi"/>
                <w:color w:val="0D0D0D" w:themeColor="text1" w:themeTint="F2"/>
                <w:sz w:val="24"/>
                <w:szCs w:val="24"/>
                <w:lang w:val="es-ES_tradnl"/>
              </w:rPr>
              <w:t xml:space="preserve"> de la computación y tecnología informática</w:t>
            </w:r>
          </w:p>
          <w:p w:rsidR="007D4A5D" w:rsidRPr="008850F1" w:rsidRDefault="007D4A5D" w:rsidP="00DA1DD6">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MNF / Microelectrónica, nanotecnología y fotónica</w:t>
            </w:r>
          </w:p>
          <w:p w:rsidR="007D4A5D" w:rsidRPr="008850F1" w:rsidRDefault="007D4A5D" w:rsidP="00DA1DD6">
            <w:pPr>
              <w:spacing w:after="0" w:line="240" w:lineRule="auto"/>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TCO / Tecnologías de las comunicaciones</w:t>
            </w:r>
          </w:p>
          <w:p w:rsidR="007D4A5D" w:rsidRPr="008850F1" w:rsidRDefault="007D4A5D" w:rsidP="00DA1DD6">
            <w:pPr>
              <w:rPr>
                <w:rFonts w:cstheme="minorHAnsi"/>
                <w:color w:val="0D0D0D" w:themeColor="text1" w:themeTint="F2"/>
                <w:sz w:val="24"/>
                <w:szCs w:val="24"/>
                <w:lang w:val="es-ES_tradnl"/>
              </w:rPr>
            </w:pPr>
          </w:p>
          <w:p w:rsidR="00C929E8" w:rsidRPr="00DA1DD6" w:rsidRDefault="00E225E4" w:rsidP="00DA1DD6">
            <w:pPr>
              <w:ind w:right="34"/>
              <w:jc w:val="both"/>
              <w:rPr>
                <w:rFonts w:eastAsia="Times New Roman" w:cstheme="minorHAnsi"/>
                <w:b/>
                <w:color w:val="0D0D0D" w:themeColor="text1" w:themeTint="F2"/>
                <w:sz w:val="24"/>
                <w:szCs w:val="24"/>
                <w:u w:val="single"/>
                <w:lang w:val="es-ES_tradnl"/>
              </w:rPr>
            </w:pPr>
            <w:r w:rsidRPr="00DA1DD6">
              <w:rPr>
                <w:rFonts w:eastAsia="Times New Roman" w:cstheme="minorHAnsi"/>
                <w:b/>
                <w:color w:val="0D0D0D" w:themeColor="text1" w:themeTint="F2"/>
                <w:sz w:val="24"/>
                <w:szCs w:val="24"/>
                <w:u w:val="single"/>
                <w:lang w:val="es-ES_tradnl"/>
              </w:rPr>
              <w:t>CIENCIAS SOCIALES Y HUMANIDADES</w:t>
            </w:r>
          </w:p>
          <w:p w:rsidR="00B075D1" w:rsidRPr="008850F1" w:rsidRDefault="00B075D1" w:rsidP="00DA1DD6">
            <w:pPr>
              <w:ind w:right="34"/>
              <w:jc w:val="both"/>
              <w:rPr>
                <w:rFonts w:eastAsia="Times New Roman" w:cstheme="minorHAnsi"/>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CSO</w:t>
            </w:r>
            <w:r w:rsidR="00515A70" w:rsidRPr="008850F1">
              <w:rPr>
                <w:rFonts w:eastAsia="Times New Roman" w:cstheme="minorHAnsi"/>
                <w:b/>
                <w:color w:val="0D0D0D" w:themeColor="text1" w:themeTint="F2"/>
                <w:sz w:val="24"/>
                <w:szCs w:val="24"/>
                <w:lang w:val="es-ES_tradnl"/>
              </w:rPr>
              <w:t xml:space="preserve"> / </w:t>
            </w:r>
            <w:r w:rsidRPr="008850F1">
              <w:rPr>
                <w:rFonts w:eastAsia="Times New Roman" w:cstheme="minorHAnsi"/>
                <w:b/>
                <w:color w:val="0D0D0D" w:themeColor="text1" w:themeTint="F2"/>
                <w:sz w:val="24"/>
                <w:szCs w:val="24"/>
                <w:lang w:val="es-ES_tradnl"/>
              </w:rPr>
              <w:t xml:space="preserve">Ciencias </w:t>
            </w:r>
            <w:r w:rsidR="003451C6" w:rsidRPr="008850F1">
              <w:rPr>
                <w:rFonts w:eastAsia="Times New Roman" w:cstheme="minorHAnsi"/>
                <w:b/>
                <w:color w:val="0D0D0D" w:themeColor="text1" w:themeTint="F2"/>
                <w:sz w:val="24"/>
                <w:szCs w:val="24"/>
                <w:lang w:val="es-ES_tradnl"/>
              </w:rPr>
              <w:t>s</w:t>
            </w:r>
            <w:r w:rsidRPr="008850F1">
              <w:rPr>
                <w:rFonts w:eastAsia="Times New Roman" w:cstheme="minorHAnsi"/>
                <w:b/>
                <w:color w:val="0D0D0D" w:themeColor="text1" w:themeTint="F2"/>
                <w:sz w:val="24"/>
                <w:szCs w:val="24"/>
                <w:lang w:val="es-ES_tradnl"/>
              </w:rPr>
              <w:t>ociales</w:t>
            </w:r>
          </w:p>
          <w:p w:rsidR="00AA18BF" w:rsidRPr="008850F1" w:rsidRDefault="00AA18BF" w:rsidP="00DA1DD6">
            <w:pPr>
              <w:spacing w:line="240" w:lineRule="auto"/>
              <w:ind w:right="34"/>
              <w:jc w:val="both"/>
              <w:rPr>
                <w:rFonts w:asciiTheme="minorHAnsi" w:eastAsia="Times New Roman" w:hAnsiTheme="minorHAnsi" w:cstheme="minorHAnsi"/>
                <w:color w:val="0D0D0D" w:themeColor="text1" w:themeTint="F2"/>
                <w:sz w:val="24"/>
                <w:szCs w:val="24"/>
                <w:lang w:val="es-ES_tradnl" w:eastAsia="en-US"/>
              </w:rPr>
            </w:pPr>
            <w:r w:rsidRPr="008850F1">
              <w:rPr>
                <w:rFonts w:asciiTheme="minorHAnsi" w:eastAsia="Times New Roman" w:hAnsiTheme="minorHAnsi" w:cstheme="minorHAnsi"/>
                <w:color w:val="0D0D0D" w:themeColor="text1" w:themeTint="F2"/>
                <w:sz w:val="24"/>
                <w:szCs w:val="24"/>
                <w:lang w:val="es-ES_tradnl" w:eastAsia="en-US"/>
              </w:rPr>
              <w:t xml:space="preserve">El </w:t>
            </w:r>
            <w:r w:rsidR="00E225E4">
              <w:rPr>
                <w:rFonts w:asciiTheme="minorHAnsi" w:eastAsia="Times New Roman" w:hAnsiTheme="minorHAnsi" w:cstheme="minorHAnsi"/>
                <w:color w:val="0D0D0D" w:themeColor="text1" w:themeTint="F2"/>
                <w:sz w:val="24"/>
                <w:szCs w:val="24"/>
                <w:lang w:val="es-ES_tradnl" w:eastAsia="en-US"/>
              </w:rPr>
              <w:t>á</w:t>
            </w:r>
            <w:r w:rsidRPr="008850F1">
              <w:rPr>
                <w:rFonts w:asciiTheme="minorHAnsi" w:eastAsia="Times New Roman" w:hAnsiTheme="minorHAnsi" w:cstheme="minorHAnsi"/>
                <w:color w:val="0D0D0D" w:themeColor="text1" w:themeTint="F2"/>
                <w:sz w:val="24"/>
                <w:szCs w:val="24"/>
                <w:lang w:val="es-ES_tradnl" w:eastAsia="en-US"/>
              </w:rPr>
              <w:t>rea de Ciencias Sociales incluye investigaciones donde se abordan objetos y objetivos científicos con los planteamientos epistemológicos y las metodologías características de las ciencias sociales. Estas investigaciones se relacionan con las disciplinas de Sociología, Demografía, Trabajo Social y Servicios Sociales, Antropología Social, Ciencia Política y de la Administración, Políticas públicas</w:t>
            </w:r>
            <w:r w:rsidR="00A42F78">
              <w:rPr>
                <w:rFonts w:asciiTheme="minorHAnsi" w:eastAsia="Times New Roman" w:hAnsiTheme="minorHAnsi" w:cstheme="minorHAnsi"/>
                <w:color w:val="0D0D0D" w:themeColor="text1" w:themeTint="F2"/>
                <w:sz w:val="24"/>
                <w:szCs w:val="24"/>
                <w:lang w:val="es-ES_tradnl" w:eastAsia="en-US"/>
              </w:rPr>
              <w:t>,</w:t>
            </w:r>
            <w:r w:rsidRPr="008850F1">
              <w:rPr>
                <w:rFonts w:asciiTheme="minorHAnsi" w:eastAsia="Times New Roman" w:hAnsiTheme="minorHAnsi" w:cstheme="minorHAnsi"/>
                <w:color w:val="0D0D0D" w:themeColor="text1" w:themeTint="F2"/>
                <w:sz w:val="24"/>
                <w:szCs w:val="24"/>
                <w:lang w:val="es-ES_tradnl" w:eastAsia="en-US"/>
              </w:rPr>
              <w:t xml:space="preserve"> Periodismo, Comunicación Audiovisual y Publicidad, Biblioteconomía y Documentación, Geografía Humana, Análisis Geográfico Regional, Geografía Urbana y Estudios feministas, de las mujeres y de género.</w:t>
            </w:r>
          </w:p>
          <w:p w:rsidR="00B075D1" w:rsidRPr="008850F1" w:rsidRDefault="003451C6" w:rsidP="00DA1DD6">
            <w:pPr>
              <w:ind w:right="34"/>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3451C6" w:rsidRPr="008850F1" w:rsidRDefault="003451C6" w:rsidP="00DA1DD6">
            <w:pPr>
              <w:spacing w:after="0"/>
              <w:ind w:right="34"/>
              <w:rPr>
                <w:rFonts w:cstheme="minorHAnsi"/>
                <w:color w:val="0D0D0D" w:themeColor="text1" w:themeTint="F2"/>
                <w:sz w:val="24"/>
                <w:szCs w:val="24"/>
              </w:rPr>
            </w:pPr>
            <w:r w:rsidRPr="008850F1">
              <w:rPr>
                <w:rFonts w:cstheme="minorHAnsi"/>
                <w:color w:val="0D0D0D" w:themeColor="text1" w:themeTint="F2"/>
                <w:sz w:val="24"/>
                <w:szCs w:val="24"/>
              </w:rPr>
              <w:t>COM / Comunicación</w:t>
            </w:r>
          </w:p>
          <w:p w:rsidR="003451C6" w:rsidRPr="008850F1" w:rsidRDefault="003451C6" w:rsidP="00DA1DD6">
            <w:pPr>
              <w:spacing w:after="0"/>
              <w:ind w:right="34"/>
              <w:rPr>
                <w:rFonts w:cstheme="minorHAnsi"/>
                <w:color w:val="0D0D0D" w:themeColor="text1" w:themeTint="F2"/>
                <w:sz w:val="24"/>
                <w:szCs w:val="24"/>
              </w:rPr>
            </w:pPr>
            <w:r w:rsidRPr="008850F1">
              <w:rPr>
                <w:rFonts w:cstheme="minorHAnsi"/>
                <w:color w:val="0D0D0D" w:themeColor="text1" w:themeTint="F2"/>
                <w:sz w:val="24"/>
                <w:szCs w:val="24"/>
              </w:rPr>
              <w:t>CPO / Ciencia política</w:t>
            </w:r>
          </w:p>
          <w:p w:rsidR="00A42F78" w:rsidRPr="008850F1" w:rsidRDefault="00A42F78" w:rsidP="00DA1DD6">
            <w:pPr>
              <w:spacing w:after="0"/>
              <w:ind w:right="34"/>
              <w:rPr>
                <w:rFonts w:cstheme="minorHAnsi"/>
                <w:color w:val="0D0D0D" w:themeColor="text1" w:themeTint="F2"/>
                <w:sz w:val="24"/>
                <w:szCs w:val="24"/>
              </w:rPr>
            </w:pPr>
            <w:r w:rsidRPr="008850F1">
              <w:rPr>
                <w:rFonts w:cstheme="minorHAnsi"/>
                <w:color w:val="0D0D0D" w:themeColor="text1" w:themeTint="F2"/>
                <w:sz w:val="24"/>
                <w:szCs w:val="24"/>
              </w:rPr>
              <w:t>FEM / Estudios feministas, de la mujeres y de género</w:t>
            </w:r>
          </w:p>
          <w:p w:rsidR="003451C6" w:rsidRPr="008850F1" w:rsidRDefault="003451C6" w:rsidP="00DA1DD6">
            <w:pPr>
              <w:spacing w:after="0"/>
              <w:ind w:right="34"/>
              <w:rPr>
                <w:rFonts w:cstheme="minorHAnsi"/>
                <w:color w:val="0D0D0D" w:themeColor="text1" w:themeTint="F2"/>
                <w:sz w:val="24"/>
                <w:szCs w:val="24"/>
              </w:rPr>
            </w:pPr>
            <w:r w:rsidRPr="008850F1">
              <w:rPr>
                <w:rFonts w:cstheme="minorHAnsi"/>
                <w:color w:val="0D0D0D" w:themeColor="text1" w:themeTint="F2"/>
                <w:sz w:val="24"/>
                <w:szCs w:val="24"/>
              </w:rPr>
              <w:t>GEO / Geografía</w:t>
            </w:r>
          </w:p>
          <w:p w:rsidR="00A42F78" w:rsidRPr="008850F1" w:rsidRDefault="00A42F78" w:rsidP="00DA1DD6">
            <w:pPr>
              <w:spacing w:after="0"/>
              <w:ind w:right="34"/>
              <w:rPr>
                <w:rFonts w:cstheme="minorHAnsi"/>
                <w:color w:val="0D0D0D" w:themeColor="text1" w:themeTint="F2"/>
                <w:sz w:val="24"/>
                <w:szCs w:val="24"/>
              </w:rPr>
            </w:pPr>
            <w:r w:rsidRPr="008850F1">
              <w:rPr>
                <w:rFonts w:cstheme="minorHAnsi"/>
                <w:color w:val="0D0D0D" w:themeColor="text1" w:themeTint="F2"/>
                <w:sz w:val="24"/>
                <w:szCs w:val="24"/>
              </w:rPr>
              <w:t>SOC / Sociología y antropología social</w:t>
            </w:r>
          </w:p>
          <w:p w:rsidR="00B075D1" w:rsidRPr="008850F1" w:rsidRDefault="00B075D1" w:rsidP="00DA1DD6">
            <w:pPr>
              <w:pStyle w:val="Prrafodelista"/>
              <w:spacing w:after="200"/>
              <w:ind w:left="0" w:right="34"/>
              <w:contextualSpacing w:val="0"/>
              <w:jc w:val="both"/>
              <w:rPr>
                <w:rFonts w:eastAsia="Times New Roman" w:cstheme="minorHAnsi"/>
                <w:b/>
                <w:color w:val="0D0D0D" w:themeColor="text1" w:themeTint="F2"/>
                <w:sz w:val="24"/>
                <w:szCs w:val="24"/>
                <w:lang w:val="es-ES_tradnl"/>
              </w:rPr>
            </w:pPr>
          </w:p>
          <w:p w:rsidR="00F110F7" w:rsidRPr="008850F1" w:rsidRDefault="00B075D1" w:rsidP="00DA1DD6">
            <w:pPr>
              <w:ind w:right="34"/>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DER</w:t>
            </w:r>
            <w:r w:rsidR="00515A70" w:rsidRPr="008850F1">
              <w:rPr>
                <w:rFonts w:eastAsia="Times New Roman" w:cstheme="minorHAnsi"/>
                <w:b/>
                <w:color w:val="0D0D0D" w:themeColor="text1" w:themeTint="F2"/>
                <w:sz w:val="24"/>
                <w:szCs w:val="24"/>
                <w:lang w:val="es-ES_tradnl"/>
              </w:rPr>
              <w:t xml:space="preserve"> / </w:t>
            </w:r>
            <w:r w:rsidR="00F110F7" w:rsidRPr="008850F1">
              <w:rPr>
                <w:rFonts w:eastAsia="Times New Roman" w:cstheme="minorHAnsi"/>
                <w:b/>
                <w:color w:val="0D0D0D" w:themeColor="text1" w:themeTint="F2"/>
                <w:sz w:val="24"/>
                <w:szCs w:val="24"/>
                <w:lang w:val="es-ES_tradnl"/>
              </w:rPr>
              <w:t>Derecho</w:t>
            </w:r>
          </w:p>
          <w:p w:rsidR="00706D07" w:rsidRDefault="00564E51" w:rsidP="00DA1DD6">
            <w:pPr>
              <w:pStyle w:val="Prrafodelista"/>
              <w:ind w:left="0" w:right="34"/>
              <w:contextualSpacing w:val="0"/>
              <w:jc w:val="both"/>
              <w:rPr>
                <w:rFonts w:eastAsia="Times New Roman" w:cstheme="minorHAnsi"/>
                <w:color w:val="0D0D0D" w:themeColor="text1" w:themeTint="F2"/>
                <w:sz w:val="24"/>
                <w:szCs w:val="24"/>
                <w:lang w:val="es-ES_tradnl"/>
              </w:rPr>
            </w:pPr>
            <w:r w:rsidRPr="008850F1">
              <w:rPr>
                <w:rFonts w:eastAsia="Times New Roman" w:cstheme="minorHAnsi"/>
                <w:color w:val="0D0D0D" w:themeColor="text1" w:themeTint="F2"/>
                <w:sz w:val="24"/>
                <w:szCs w:val="24"/>
                <w:lang w:val="es-ES_tradnl"/>
              </w:rPr>
              <w:t xml:space="preserve">El área de Derecho comprende todos los sectores del </w:t>
            </w:r>
            <w:r w:rsidR="00A42F78">
              <w:rPr>
                <w:rFonts w:eastAsia="Times New Roman" w:cstheme="minorHAnsi"/>
                <w:color w:val="0D0D0D" w:themeColor="text1" w:themeTint="F2"/>
                <w:sz w:val="24"/>
                <w:szCs w:val="24"/>
                <w:lang w:val="es-ES_tradnl"/>
              </w:rPr>
              <w:t>o</w:t>
            </w:r>
            <w:r w:rsidRPr="008850F1">
              <w:rPr>
                <w:rFonts w:eastAsia="Times New Roman" w:cstheme="minorHAnsi"/>
                <w:color w:val="0D0D0D" w:themeColor="text1" w:themeTint="F2"/>
                <w:sz w:val="24"/>
                <w:szCs w:val="24"/>
                <w:lang w:val="es-ES_tradnl"/>
              </w:rPr>
              <w:t xml:space="preserve">rdenamiento jurídico y sus disciplinas científicas, tanto las tradicionalmente incluidas bajo los epígrafes Derecho Público y Derecho Privado (derecho administrativo, derecho civil, derecho constitucional, derecho del trabajo y de la Seguridad Social, derecho eclesiástico del Estado, derecho financiero y tributario, derecho internacional privado, derecho internacional público y relaciones internacionales, derecho mercantil, derecho penal, derecho procesal, derecho romano, filosofía del derecho, historia del derecho), como las de más reciente aparición, que todavía muestran una fuerte conexión con las anteriores (a título de ejemplo, derecho ambiental, derecho autonómico, derecho de la Unión Europea, derecho del comercio internacional, derecho deportivo, derecho informático, derecho migratorio, derecho militar, derecho penitenciario, derecho sindical, etc.), además de las afines, complementarias y auxiliares (como derecho comparado, medicina legal o sociología del derecho, entre otras) cuando la vertiente jurídica sea </w:t>
            </w:r>
            <w:r w:rsidRPr="008850F1">
              <w:rPr>
                <w:rFonts w:eastAsia="Times New Roman" w:cstheme="minorHAnsi"/>
                <w:color w:val="0D0D0D" w:themeColor="text1" w:themeTint="F2"/>
                <w:sz w:val="24"/>
                <w:szCs w:val="24"/>
                <w:lang w:val="es-ES_tradnl"/>
              </w:rPr>
              <w:lastRenderedPageBreak/>
              <w:t>relevante. También comprende disciplinas fronterizas, transversales y emergentes cuando planteen investigaciones interdisciplinarias o en las fronteras del conocimiento relacionadas con el Derecho. Los estudios que se adscriban al área de Derecho pueden ser de ámbito local, autonómico, nacional, internacional o comparado, con un enfoque estrictamente jurídico (involucrando una o varias disciplinas jurídicas) o bien interdisciplinario (cruzando los límites tradicionales entre disciplinas de distintas áreas, como ocurre con el análisis económico del derecho, la aplicación de la perspectiva de género al derecho o la bioética, por ej</w:t>
            </w:r>
            <w:r w:rsidR="00A42F78">
              <w:rPr>
                <w:rFonts w:eastAsia="Times New Roman" w:cstheme="minorHAnsi"/>
                <w:color w:val="0D0D0D" w:themeColor="text1" w:themeTint="F2"/>
                <w:sz w:val="24"/>
                <w:szCs w:val="24"/>
                <w:lang w:val="es-ES_tradnl"/>
              </w:rPr>
              <w:t>emplo</w:t>
            </w:r>
            <w:r w:rsidRPr="008850F1">
              <w:rPr>
                <w:rFonts w:eastAsia="Times New Roman" w:cstheme="minorHAnsi"/>
                <w:color w:val="0D0D0D" w:themeColor="text1" w:themeTint="F2"/>
                <w:sz w:val="24"/>
                <w:szCs w:val="24"/>
                <w:lang w:val="es-ES_tradnl"/>
              </w:rPr>
              <w:t>).</w:t>
            </w:r>
          </w:p>
          <w:p w:rsidR="00706D07" w:rsidRPr="00DA1DD6" w:rsidRDefault="00706D07" w:rsidP="00DA1DD6">
            <w:pPr>
              <w:pStyle w:val="Prrafodelista"/>
              <w:spacing w:after="200"/>
              <w:ind w:left="0" w:right="34"/>
              <w:contextualSpacing w:val="0"/>
              <w:jc w:val="both"/>
              <w:rPr>
                <w:rFonts w:eastAsia="Times New Roman" w:cstheme="minorHAnsi"/>
                <w:color w:val="0D0D0D" w:themeColor="text1" w:themeTint="F2"/>
                <w:sz w:val="24"/>
                <w:szCs w:val="24"/>
                <w:lang w:val="es-ES_tradnl"/>
              </w:rPr>
            </w:pPr>
          </w:p>
        </w:tc>
      </w:tr>
    </w:tbl>
    <w:p w:rsidR="0081025A" w:rsidRPr="008850F1" w:rsidRDefault="00641A90" w:rsidP="00DA1DD6">
      <w:pPr>
        <w:pStyle w:val="Prrafodelista"/>
        <w:spacing w:after="200"/>
        <w:ind w:left="0" w:right="34"/>
        <w:contextualSpacing w:val="0"/>
        <w:jc w:val="both"/>
        <w:rPr>
          <w:b/>
          <w:color w:val="0D0D0D" w:themeColor="text1" w:themeTint="F2"/>
          <w:sz w:val="24"/>
          <w:szCs w:val="24"/>
          <w:lang w:val="es-ES_tradnl"/>
        </w:rPr>
      </w:pPr>
      <w:r w:rsidRPr="00DA1DD6">
        <w:rPr>
          <w:rFonts w:eastAsia="Times New Roman" w:cstheme="minorHAnsi"/>
          <w:b/>
          <w:color w:val="0D0D0D" w:themeColor="text1" w:themeTint="F2"/>
          <w:sz w:val="24"/>
          <w:szCs w:val="24"/>
          <w:lang w:val="es-ES_tradnl"/>
        </w:rPr>
        <w:lastRenderedPageBreak/>
        <w:t>ECO</w:t>
      </w:r>
      <w:r w:rsidR="00515A70" w:rsidRPr="008850F1">
        <w:rPr>
          <w:rFonts w:eastAsia="Times New Roman" w:cstheme="minorHAnsi"/>
          <w:b/>
          <w:color w:val="0D0D0D" w:themeColor="text1" w:themeTint="F2"/>
          <w:sz w:val="24"/>
          <w:szCs w:val="24"/>
          <w:lang w:val="es-ES_tradnl"/>
        </w:rPr>
        <w:t xml:space="preserve"> / </w:t>
      </w:r>
      <w:r w:rsidRPr="008850F1">
        <w:rPr>
          <w:b/>
          <w:color w:val="0D0D0D" w:themeColor="text1" w:themeTint="F2"/>
          <w:sz w:val="24"/>
          <w:szCs w:val="24"/>
          <w:lang w:val="es-ES_tradnl"/>
        </w:rPr>
        <w:t>Economía</w:t>
      </w:r>
    </w:p>
    <w:p w:rsidR="0081025A" w:rsidRPr="008850F1" w:rsidRDefault="00641A90" w:rsidP="00DA1DD6">
      <w:pPr>
        <w:pStyle w:val="Prrafodelista"/>
        <w:spacing w:after="200"/>
        <w:ind w:left="0" w:firstLine="17"/>
        <w:jc w:val="both"/>
        <w:rPr>
          <w:b/>
          <w:color w:val="0D0D0D" w:themeColor="text1" w:themeTint="F2"/>
          <w:sz w:val="24"/>
          <w:szCs w:val="24"/>
          <w:lang w:val="es-ES"/>
        </w:rPr>
      </w:pPr>
      <w:r w:rsidRPr="008850F1">
        <w:rPr>
          <w:rFonts w:eastAsia="Times New Roman" w:cstheme="minorHAnsi"/>
          <w:color w:val="0D0D0D" w:themeColor="text1" w:themeTint="F2"/>
          <w:sz w:val="24"/>
          <w:szCs w:val="24"/>
          <w:lang w:val="es-ES_tradnl"/>
        </w:rPr>
        <w:t>Abarca la investigación teórica y metodológica esencial para el diseño de herramientas y modelos de los fenómenos económicos y sociales</w:t>
      </w:r>
      <w:r w:rsidR="00E225E4">
        <w:rPr>
          <w:rFonts w:eastAsia="Times New Roman" w:cstheme="minorHAnsi"/>
          <w:color w:val="0D0D0D" w:themeColor="text1" w:themeTint="F2"/>
          <w:sz w:val="24"/>
          <w:szCs w:val="24"/>
          <w:lang w:val="es-ES_tradnl"/>
        </w:rPr>
        <w:t>. I</w:t>
      </w:r>
      <w:r w:rsidRPr="008850F1">
        <w:rPr>
          <w:rFonts w:eastAsia="Times New Roman" w:cstheme="minorHAnsi"/>
          <w:color w:val="0D0D0D" w:themeColor="text1" w:themeTint="F2"/>
          <w:sz w:val="24"/>
          <w:szCs w:val="24"/>
          <w:lang w:val="es-ES_tradnl"/>
        </w:rPr>
        <w:t xml:space="preserve">ncluye la teoría de juegos, la teoría de la decisión, los métodos de la economía experimental, la econometría, el diseño y la metodología de las encuestas, los algoritmos de predicción y la economía computacional. Engloba </w:t>
      </w:r>
      <w:r w:rsidR="00F110F7" w:rsidRPr="008850F1">
        <w:rPr>
          <w:rFonts w:eastAsia="Times New Roman" w:cstheme="minorHAnsi"/>
          <w:color w:val="0D0D0D" w:themeColor="text1" w:themeTint="F2"/>
          <w:sz w:val="24"/>
          <w:szCs w:val="24"/>
          <w:lang w:val="es-ES_tradnl"/>
        </w:rPr>
        <w:t>asimismo</w:t>
      </w:r>
      <w:r w:rsidRPr="008850F1">
        <w:rPr>
          <w:rFonts w:eastAsia="Times New Roman" w:cstheme="minorHAnsi"/>
          <w:color w:val="0D0D0D" w:themeColor="text1" w:themeTint="F2"/>
          <w:sz w:val="24"/>
          <w:szCs w:val="24"/>
          <w:lang w:val="es-ES_tradnl"/>
        </w:rPr>
        <w:t xml:space="preserve"> la investigación teórica y empírica en las distintas áreas del análisis económico. </w:t>
      </w:r>
      <w:r w:rsidR="00F110F7" w:rsidRPr="008850F1">
        <w:rPr>
          <w:rFonts w:eastAsia="Times New Roman" w:cstheme="minorHAnsi"/>
          <w:color w:val="0D0D0D" w:themeColor="text1" w:themeTint="F2"/>
          <w:sz w:val="24"/>
          <w:szCs w:val="24"/>
          <w:lang w:val="es-ES_tradnl"/>
        </w:rPr>
        <w:t>Se</w:t>
      </w:r>
      <w:r w:rsidRPr="008850F1">
        <w:rPr>
          <w:rFonts w:eastAsia="Times New Roman" w:cstheme="minorHAnsi"/>
          <w:color w:val="0D0D0D" w:themeColor="text1" w:themeTint="F2"/>
          <w:sz w:val="24"/>
          <w:szCs w:val="24"/>
          <w:lang w:val="es-ES_tradnl"/>
        </w:rPr>
        <w:t xml:space="preserve"> incluye</w:t>
      </w:r>
      <w:r w:rsidR="00F110F7" w:rsidRPr="008850F1">
        <w:rPr>
          <w:rFonts w:eastAsia="Times New Roman" w:cstheme="minorHAnsi"/>
          <w:color w:val="0D0D0D" w:themeColor="text1" w:themeTint="F2"/>
          <w:sz w:val="24"/>
          <w:szCs w:val="24"/>
          <w:lang w:val="es-ES_tradnl"/>
        </w:rPr>
        <w:t>n</w:t>
      </w:r>
      <w:r w:rsidRPr="008850F1">
        <w:rPr>
          <w:rFonts w:eastAsia="Times New Roman" w:cstheme="minorHAnsi"/>
          <w:color w:val="0D0D0D" w:themeColor="text1" w:themeTint="F2"/>
          <w:sz w:val="24"/>
          <w:szCs w:val="24"/>
          <w:lang w:val="es-ES_tradnl"/>
        </w:rPr>
        <w:t xml:space="preserve"> las investigaciones orientadas a una mejor comprensión de los procesos e instituciones de las economías española, europea y del resto del mundo, la investigación en los campos de la economía de la empresa y las finanzas (</w:t>
      </w:r>
      <w:r w:rsidRPr="00DA1DD6">
        <w:rPr>
          <w:rFonts w:eastAsia="Times New Roman" w:cstheme="minorHAnsi"/>
          <w:i/>
          <w:color w:val="0D0D0D" w:themeColor="text1" w:themeTint="F2"/>
          <w:sz w:val="24"/>
          <w:szCs w:val="24"/>
          <w:lang w:val="es-ES_tradnl"/>
        </w:rPr>
        <w:t>business studies</w:t>
      </w:r>
      <w:r w:rsidRPr="008850F1">
        <w:rPr>
          <w:rFonts w:eastAsia="Times New Roman" w:cstheme="minorHAnsi"/>
          <w:color w:val="0D0D0D" w:themeColor="text1" w:themeTint="F2"/>
          <w:sz w:val="24"/>
          <w:szCs w:val="24"/>
          <w:lang w:val="es-ES_tradnl"/>
        </w:rPr>
        <w:t xml:space="preserve">), incluyendo las áreas de contabilidad y marketing, así como los estudios sobre estrategia, organización, personal, tecnología e innovación de las empresas. </w:t>
      </w:r>
      <w:r w:rsidR="00F110F7" w:rsidRPr="008850F1">
        <w:rPr>
          <w:rFonts w:eastAsia="Times New Roman" w:cstheme="minorHAnsi"/>
          <w:color w:val="0D0D0D" w:themeColor="text1" w:themeTint="F2"/>
          <w:sz w:val="24"/>
          <w:szCs w:val="24"/>
          <w:lang w:val="es-ES_tradnl"/>
        </w:rPr>
        <w:t>Finalmente</w:t>
      </w:r>
      <w:r w:rsidR="00E225E4">
        <w:rPr>
          <w:rFonts w:eastAsia="Times New Roman" w:cstheme="minorHAnsi"/>
          <w:color w:val="0D0D0D" w:themeColor="text1" w:themeTint="F2"/>
          <w:sz w:val="24"/>
          <w:szCs w:val="24"/>
          <w:lang w:val="es-ES_tradnl"/>
        </w:rPr>
        <w:t>,</w:t>
      </w:r>
      <w:r w:rsidRPr="008850F1">
        <w:rPr>
          <w:rFonts w:eastAsia="Times New Roman" w:cstheme="minorHAnsi"/>
          <w:color w:val="0D0D0D" w:themeColor="text1" w:themeTint="F2"/>
          <w:sz w:val="24"/>
          <w:szCs w:val="24"/>
          <w:lang w:val="es-ES_tradnl"/>
        </w:rPr>
        <w:t xml:space="preserve"> la investigación en todas las áreas de las finanzas, la valoración de activos y derivados, la intermediación financiera, la gestión de ri</w:t>
      </w:r>
      <w:r w:rsidR="00F110F7" w:rsidRPr="008850F1">
        <w:rPr>
          <w:rFonts w:eastAsia="Times New Roman" w:cstheme="minorHAnsi"/>
          <w:color w:val="0D0D0D" w:themeColor="text1" w:themeTint="F2"/>
          <w:sz w:val="24"/>
          <w:szCs w:val="24"/>
          <w:lang w:val="es-ES_tradnl"/>
        </w:rPr>
        <w:t>esgos y el análisis de carteras son materias del área.</w:t>
      </w:r>
    </w:p>
    <w:p w:rsidR="003451C6" w:rsidRPr="008850F1" w:rsidRDefault="003451C6" w:rsidP="003451C6">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3451C6" w:rsidRPr="008850F1" w:rsidRDefault="003451C6" w:rsidP="003451C6">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EYA / Economía y sus aplicaciones</w:t>
      </w:r>
    </w:p>
    <w:p w:rsidR="0081025A" w:rsidRDefault="003451C6" w:rsidP="003451C6">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EYF /Empresas y finanzas</w:t>
      </w:r>
    </w:p>
    <w:p w:rsidR="00E225E4" w:rsidRPr="008850F1" w:rsidRDefault="00E225E4" w:rsidP="00E225E4">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MAE / Métodos del análisis económico</w:t>
      </w:r>
    </w:p>
    <w:p w:rsidR="00706D07" w:rsidRPr="008850F1" w:rsidRDefault="00706D07" w:rsidP="00DA1DD6">
      <w:pPr>
        <w:rPr>
          <w:rFonts w:cstheme="minorHAnsi"/>
          <w:color w:val="0D0D0D" w:themeColor="text1" w:themeTint="F2"/>
          <w:sz w:val="24"/>
          <w:szCs w:val="24"/>
          <w:lang w:val="es-ES_tradnl"/>
        </w:rPr>
      </w:pPr>
    </w:p>
    <w:p w:rsidR="00E225E4" w:rsidRPr="008850F1" w:rsidRDefault="00E225E4" w:rsidP="00E225E4">
      <w:pPr>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EDU / Ciencias de la educación</w:t>
      </w:r>
    </w:p>
    <w:p w:rsidR="00E225E4" w:rsidRDefault="00E225E4" w:rsidP="00DA1DD6">
      <w:pPr>
        <w:spacing w:after="0" w:line="240" w:lineRule="auto"/>
        <w:ind w:left="22" w:hanging="11"/>
        <w:jc w:val="both"/>
        <w:rPr>
          <w:rFonts w:eastAsia="Times New Roman" w:cstheme="minorHAnsi"/>
          <w:color w:val="0D0D0D" w:themeColor="text1" w:themeTint="F2"/>
          <w:sz w:val="24"/>
          <w:szCs w:val="24"/>
          <w:lang w:val="es-ES_tradnl"/>
        </w:rPr>
      </w:pPr>
      <w:r w:rsidRPr="008850F1">
        <w:rPr>
          <w:rFonts w:eastAsia="Times New Roman" w:cstheme="minorHAnsi"/>
          <w:color w:val="0D0D0D" w:themeColor="text1" w:themeTint="F2"/>
          <w:sz w:val="24"/>
          <w:szCs w:val="24"/>
          <w:lang w:val="es-ES_tradnl"/>
        </w:rPr>
        <w:t xml:space="preserve">La finalidad de la investigación en educación es generar nuevos conocimientos sobre los sistemas e instituciones educativas, los procesos de enseñanza-aprendizaje y su organización y contexto. Entre sus objetivos está la generación de conocimiento basada en la descripción, comprensión y explicación del aprendizaje que tiene lugar en distintas etapas de la vida tanto en contextos formales como no formales. La investigación en educación puede ser teórica y empírica e incluye el desarrollo de estrategias y métodos que favorezcan la enseñanza y el aprendizaje, las didácticas específicas, la formación de profesores, los contextos socio-políticos y tecnológicos, las acciones institucionales, las orientaciones y prácticas de acción tutorial. </w:t>
      </w:r>
    </w:p>
    <w:p w:rsidR="00706D07" w:rsidRPr="008850F1" w:rsidRDefault="00706D07" w:rsidP="00DA1DD6">
      <w:pPr>
        <w:rPr>
          <w:rFonts w:eastAsia="Times New Roman" w:cstheme="minorHAnsi"/>
          <w:color w:val="0D0D0D" w:themeColor="text1" w:themeTint="F2"/>
          <w:sz w:val="24"/>
          <w:szCs w:val="24"/>
          <w:lang w:val="es-ES_tradnl"/>
        </w:rPr>
      </w:pPr>
    </w:p>
    <w:p w:rsidR="00E225E4" w:rsidRPr="008850F1" w:rsidRDefault="00E225E4" w:rsidP="00E225E4">
      <w:pPr>
        <w:autoSpaceDE w:val="0"/>
        <w:autoSpaceDN w:val="0"/>
        <w:adjustRightInd w:val="0"/>
        <w:spacing w:after="0" w:line="240" w:lineRule="auto"/>
        <w:jc w:val="both"/>
        <w:rPr>
          <w:rFonts w:asciiTheme="minorHAnsi" w:hAnsiTheme="minorHAnsi" w:cs="Courier New"/>
          <w:b/>
          <w:color w:val="0D0D0D" w:themeColor="text1" w:themeTint="F2"/>
          <w:sz w:val="24"/>
          <w:szCs w:val="24"/>
          <w:lang w:eastAsia="en-US"/>
        </w:rPr>
      </w:pPr>
      <w:r w:rsidRPr="008850F1">
        <w:rPr>
          <w:rFonts w:asciiTheme="minorHAnsi" w:hAnsiTheme="minorHAnsi" w:cs="Courier New"/>
          <w:b/>
          <w:color w:val="0D0D0D" w:themeColor="text1" w:themeTint="F2"/>
          <w:sz w:val="24"/>
          <w:szCs w:val="24"/>
          <w:lang w:eastAsia="en-US"/>
        </w:rPr>
        <w:lastRenderedPageBreak/>
        <w:t>FLA</w:t>
      </w:r>
      <w:r w:rsidRPr="008850F1">
        <w:rPr>
          <w:rFonts w:eastAsia="Times New Roman" w:cstheme="minorHAnsi"/>
          <w:b/>
          <w:color w:val="0D0D0D" w:themeColor="text1" w:themeTint="F2"/>
          <w:sz w:val="24"/>
          <w:szCs w:val="24"/>
          <w:lang w:val="es-ES_tradnl"/>
        </w:rPr>
        <w:t xml:space="preserve"> / </w:t>
      </w:r>
      <w:r w:rsidRPr="008850F1">
        <w:rPr>
          <w:rFonts w:asciiTheme="minorHAnsi" w:hAnsiTheme="minorHAnsi" w:cs="Courier New"/>
          <w:b/>
          <w:color w:val="0D0D0D" w:themeColor="text1" w:themeTint="F2"/>
          <w:sz w:val="24"/>
          <w:szCs w:val="24"/>
          <w:lang w:eastAsia="en-US"/>
        </w:rPr>
        <w:t xml:space="preserve">Cultura: </w:t>
      </w:r>
      <w:r w:rsidR="006C3F27">
        <w:rPr>
          <w:rFonts w:asciiTheme="minorHAnsi" w:hAnsiTheme="minorHAnsi" w:cs="Courier New"/>
          <w:b/>
          <w:color w:val="0D0D0D" w:themeColor="text1" w:themeTint="F2"/>
          <w:sz w:val="24"/>
          <w:szCs w:val="24"/>
          <w:lang w:eastAsia="en-US"/>
        </w:rPr>
        <w:t>f</w:t>
      </w:r>
      <w:r w:rsidRPr="008850F1">
        <w:rPr>
          <w:rFonts w:asciiTheme="minorHAnsi" w:hAnsiTheme="minorHAnsi" w:cs="Courier New"/>
          <w:b/>
          <w:color w:val="0D0D0D" w:themeColor="text1" w:themeTint="F2"/>
          <w:sz w:val="24"/>
          <w:szCs w:val="24"/>
          <w:lang w:eastAsia="en-US"/>
        </w:rPr>
        <w:t>ilología, literatura y arte</w:t>
      </w:r>
    </w:p>
    <w:p w:rsidR="00E225E4" w:rsidRPr="008850F1" w:rsidRDefault="00E225E4" w:rsidP="00E225E4">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E225E4" w:rsidRPr="008850F1" w:rsidRDefault="00E225E4" w:rsidP="00E225E4">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Engloba investigaciones sobre las literaturas, la teoría de la literatura y la literatura comparada, las bellas artes, las artes escénicas, la arquitectura, los estudios visuales, la musicología y la historia del arte de todas las épocas, y su relación con la cultura, la historia y la sociedad en las que se inscriben; ediciones críticas de textos y documentos, su conservación, reconstrucción y fijación; trabajos filológicos, paleográficos y de interpretación sobre las lenguas y culturas clásicas y del Mediterráneo y Oriente próximo; la conservación, difusión y gestión patrimonial de las manifestaciones artísticas, su museística y museografía, desde todas las perspectivas metodológicas. Recoge estudios de la cultura popular en sus diversas vertientes y manifestaciones artísticas y literarias. Integra proyectos de humanidades digitales para todos los ámbitos mencionados.</w:t>
      </w:r>
    </w:p>
    <w:p w:rsidR="00E225E4" w:rsidRPr="008850F1" w:rsidRDefault="00E225E4" w:rsidP="00E225E4">
      <w:pPr>
        <w:autoSpaceDE w:val="0"/>
        <w:autoSpaceDN w:val="0"/>
        <w:adjustRightInd w:val="0"/>
        <w:spacing w:after="0" w:line="240" w:lineRule="auto"/>
        <w:jc w:val="both"/>
        <w:rPr>
          <w:rFonts w:asciiTheme="minorHAnsi" w:hAnsiTheme="minorHAnsi" w:cs="Courier New"/>
          <w:b/>
          <w:color w:val="0D0D0D" w:themeColor="text1" w:themeTint="F2"/>
          <w:sz w:val="24"/>
          <w:szCs w:val="24"/>
          <w:lang w:eastAsia="en-US"/>
        </w:rPr>
      </w:pPr>
    </w:p>
    <w:p w:rsidR="00E225E4" w:rsidRPr="008850F1" w:rsidRDefault="00E225E4" w:rsidP="00E225E4">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E225E4" w:rsidRDefault="00E225E4" w:rsidP="00E225E4">
      <w:pPr>
        <w:autoSpaceDE w:val="0"/>
        <w:autoSpaceDN w:val="0"/>
        <w:adjustRightInd w:val="0"/>
        <w:spacing w:after="0" w:line="240" w:lineRule="auto"/>
        <w:jc w:val="both"/>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ART / Arte, bellas artes, museística</w:t>
      </w:r>
    </w:p>
    <w:p w:rsidR="00E225E4" w:rsidRPr="008850F1" w:rsidRDefault="00E225E4" w:rsidP="00E225E4">
      <w:pPr>
        <w:autoSpaceDE w:val="0"/>
        <w:autoSpaceDN w:val="0"/>
        <w:adjustRightInd w:val="0"/>
        <w:spacing w:after="0" w:line="240" w:lineRule="auto"/>
        <w:jc w:val="both"/>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LFL / Literatura, filología, lenguas y culturas antiguas y estudios culturales</w:t>
      </w:r>
    </w:p>
    <w:p w:rsidR="00E225E4" w:rsidRPr="008850F1" w:rsidRDefault="00E225E4" w:rsidP="00E225E4">
      <w:pPr>
        <w:autoSpaceDE w:val="0"/>
        <w:autoSpaceDN w:val="0"/>
        <w:adjustRightInd w:val="0"/>
        <w:spacing w:after="0" w:line="240" w:lineRule="auto"/>
        <w:jc w:val="both"/>
        <w:rPr>
          <w:rFonts w:asciiTheme="minorHAnsi" w:hAnsiTheme="minorHAnsi" w:cs="Courier New"/>
          <w:b/>
          <w:color w:val="0D0D0D" w:themeColor="text1" w:themeTint="F2"/>
          <w:sz w:val="24"/>
          <w:szCs w:val="24"/>
          <w:lang w:val="es-ES_tradnl" w:eastAsia="en-US"/>
        </w:rPr>
      </w:pPr>
    </w:p>
    <w:p w:rsidR="00E774D2" w:rsidRPr="008850F1" w:rsidRDefault="00F038D1" w:rsidP="00641A90">
      <w:pPr>
        <w:pStyle w:val="NormalWeb"/>
        <w:jc w:val="both"/>
        <w:rPr>
          <w:rFonts w:asciiTheme="minorHAnsi" w:hAnsiTheme="minorHAnsi"/>
          <w:b/>
          <w:color w:val="0D0D0D" w:themeColor="text1" w:themeTint="F2"/>
          <w:sz w:val="24"/>
          <w:szCs w:val="24"/>
        </w:rPr>
      </w:pPr>
      <w:r w:rsidRPr="008850F1">
        <w:rPr>
          <w:rFonts w:asciiTheme="minorHAnsi" w:hAnsiTheme="minorHAnsi"/>
          <w:b/>
          <w:color w:val="0D0D0D" w:themeColor="text1" w:themeTint="F2"/>
          <w:sz w:val="24"/>
          <w:szCs w:val="24"/>
        </w:rPr>
        <w:t>MLP</w:t>
      </w:r>
      <w:r w:rsidR="00515A70" w:rsidRPr="008850F1">
        <w:rPr>
          <w:rFonts w:eastAsia="Times New Roman" w:cstheme="minorHAnsi"/>
          <w:b/>
          <w:color w:val="0D0D0D" w:themeColor="text1" w:themeTint="F2"/>
          <w:sz w:val="24"/>
          <w:szCs w:val="24"/>
          <w:lang w:val="es-ES_tradnl"/>
        </w:rPr>
        <w:t xml:space="preserve"> / </w:t>
      </w:r>
      <w:r w:rsidR="00E774D2" w:rsidRPr="008850F1">
        <w:rPr>
          <w:rFonts w:asciiTheme="minorHAnsi" w:hAnsiTheme="minorHAnsi"/>
          <w:b/>
          <w:color w:val="0D0D0D" w:themeColor="text1" w:themeTint="F2"/>
          <w:sz w:val="24"/>
          <w:szCs w:val="24"/>
        </w:rPr>
        <w:t>Mente, lenguaje y pensamiento</w:t>
      </w:r>
    </w:p>
    <w:p w:rsidR="00F038D1" w:rsidRPr="008850F1" w:rsidRDefault="00F038D1" w:rsidP="00171A09">
      <w:pPr>
        <w:spacing w:line="240" w:lineRule="auto"/>
        <w:jc w:val="both"/>
        <w:rPr>
          <w:rFonts w:asciiTheme="minorHAnsi" w:hAnsiTheme="minorHAnsi"/>
          <w:color w:val="0D0D0D" w:themeColor="text1" w:themeTint="F2"/>
          <w:sz w:val="24"/>
          <w:szCs w:val="24"/>
        </w:rPr>
      </w:pPr>
      <w:r w:rsidRPr="008850F1">
        <w:rPr>
          <w:rFonts w:asciiTheme="minorHAnsi" w:hAnsiTheme="minorHAnsi"/>
          <w:color w:val="0D0D0D" w:themeColor="text1" w:themeTint="F2"/>
          <w:sz w:val="24"/>
          <w:szCs w:val="24"/>
        </w:rPr>
        <w:t>Engloba</w:t>
      </w:r>
      <w:r w:rsidR="00E774D2" w:rsidRPr="008850F1">
        <w:rPr>
          <w:rFonts w:asciiTheme="minorHAnsi" w:hAnsiTheme="minorHAnsi"/>
          <w:color w:val="0D0D0D" w:themeColor="text1" w:themeTint="F2"/>
          <w:sz w:val="24"/>
          <w:szCs w:val="24"/>
        </w:rPr>
        <w:t xml:space="preserve"> investigaciones sobre las lenguas y el lenguaje en sus varios niveles y desarrollos metodológicos y técnicos, desde la lingüística teórica, la variación y el cambio lingüístico, los estudios descriptivos y cuantitativos sobre las lenguas naturales modernas y antiguas, la lingüística computacional y la experimental, hasta la lingüística aplicada, la psicolingüística y los estudios sobre adquisic</w:t>
      </w:r>
      <w:r w:rsidR="003868FE" w:rsidRPr="008850F1">
        <w:rPr>
          <w:rFonts w:asciiTheme="minorHAnsi" w:hAnsiTheme="minorHAnsi"/>
          <w:color w:val="0D0D0D" w:themeColor="text1" w:themeTint="F2"/>
          <w:sz w:val="24"/>
          <w:szCs w:val="24"/>
        </w:rPr>
        <w:t>ión y producción del lenguaje,</w:t>
      </w:r>
      <w:r w:rsidR="00E774D2" w:rsidRPr="008850F1">
        <w:rPr>
          <w:rFonts w:asciiTheme="minorHAnsi" w:hAnsiTheme="minorHAnsi"/>
          <w:color w:val="0D0D0D" w:themeColor="text1" w:themeTint="F2"/>
          <w:sz w:val="24"/>
          <w:szCs w:val="24"/>
        </w:rPr>
        <w:t xml:space="preserve"> la enseñanza de lenguas</w:t>
      </w:r>
      <w:r w:rsidR="003868FE" w:rsidRPr="008850F1">
        <w:rPr>
          <w:rFonts w:asciiTheme="minorHAnsi" w:hAnsiTheme="minorHAnsi"/>
          <w:color w:val="0D0D0D" w:themeColor="text1" w:themeTint="F2"/>
          <w:sz w:val="24"/>
          <w:szCs w:val="24"/>
        </w:rPr>
        <w:t xml:space="preserve"> y las humanidades digitales</w:t>
      </w:r>
      <w:r w:rsidR="00E774D2" w:rsidRPr="008850F1">
        <w:rPr>
          <w:rFonts w:asciiTheme="minorHAnsi" w:hAnsiTheme="minorHAnsi"/>
          <w:color w:val="0D0D0D" w:themeColor="text1" w:themeTint="F2"/>
          <w:sz w:val="24"/>
          <w:szCs w:val="24"/>
        </w:rPr>
        <w:t>. Se incluyen también la traducción e interpretación y las investigaciones diacrónic</w:t>
      </w:r>
      <w:r w:rsidRPr="008850F1">
        <w:rPr>
          <w:rFonts w:asciiTheme="minorHAnsi" w:hAnsiTheme="minorHAnsi"/>
          <w:color w:val="0D0D0D" w:themeColor="text1" w:themeTint="F2"/>
          <w:sz w:val="24"/>
          <w:szCs w:val="24"/>
        </w:rPr>
        <w:t>as lingüísticamente orientadas e</w:t>
      </w:r>
      <w:r w:rsidR="00E774D2" w:rsidRPr="008850F1">
        <w:rPr>
          <w:rFonts w:asciiTheme="minorHAnsi" w:hAnsiTheme="minorHAnsi"/>
          <w:color w:val="0D0D0D" w:themeColor="text1" w:themeTint="F2"/>
          <w:sz w:val="24"/>
          <w:szCs w:val="24"/>
        </w:rPr>
        <w:t xml:space="preserve"> integra proyectos de humanidades digitales para los ámbitos mencionados. Por otro, engloba investigaciones centradas en los problemas ontológicos, epistemológicos y normativos en los distintos ámbitos del pensamiento y de la actuación humana, y en diferentes espacios de la sociedad y de la cultura, desde las ciencias a las artes, atendiendo a la variedad de metodologías y propuestas teóricas de las diferentes tradiciones y escuelas filosóficas. Se ocupa de cuestiones relativas a la estructura última de la realidad, al conocimiento en sus distintas formas y aplicaciones, al valor y al sentido de la existencia humana; y se encamina hacia una comprensión de la experiencia y de las prácticas culturales desde una perspectiva reflexiva y crítica. </w:t>
      </w:r>
    </w:p>
    <w:p w:rsidR="003451C6" w:rsidRPr="008850F1" w:rsidRDefault="003451C6" w:rsidP="003451C6">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6C3F27" w:rsidRPr="008850F1" w:rsidRDefault="006C3F27" w:rsidP="006C3F27">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FIL / Filosofía</w:t>
      </w:r>
    </w:p>
    <w:p w:rsidR="003451C6" w:rsidRPr="008850F1" w:rsidRDefault="003451C6" w:rsidP="003451C6">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LYL / Lingüística y lenguas</w:t>
      </w:r>
    </w:p>
    <w:p w:rsidR="003451C6" w:rsidRPr="008850F1" w:rsidRDefault="003451C6" w:rsidP="00DA1DD6">
      <w:pPr>
        <w:autoSpaceDE w:val="0"/>
        <w:autoSpaceDN w:val="0"/>
        <w:adjustRightInd w:val="0"/>
        <w:spacing w:line="240" w:lineRule="auto"/>
        <w:jc w:val="both"/>
        <w:rPr>
          <w:rFonts w:asciiTheme="minorHAnsi" w:hAnsiTheme="minorHAnsi" w:cs="Courier New"/>
          <w:b/>
          <w:color w:val="0D0D0D" w:themeColor="text1" w:themeTint="F2"/>
          <w:sz w:val="24"/>
          <w:szCs w:val="24"/>
          <w:lang w:eastAsia="en-US"/>
        </w:rPr>
      </w:pPr>
    </w:p>
    <w:p w:rsidR="00F038D1" w:rsidRPr="008850F1" w:rsidRDefault="00F038D1" w:rsidP="00641A90">
      <w:pPr>
        <w:autoSpaceDE w:val="0"/>
        <w:autoSpaceDN w:val="0"/>
        <w:adjustRightInd w:val="0"/>
        <w:spacing w:after="0" w:line="240" w:lineRule="auto"/>
        <w:jc w:val="both"/>
        <w:rPr>
          <w:rFonts w:asciiTheme="minorHAnsi" w:hAnsiTheme="minorHAnsi" w:cs="Courier New"/>
          <w:b/>
          <w:color w:val="0D0D0D" w:themeColor="text1" w:themeTint="F2"/>
          <w:sz w:val="24"/>
          <w:szCs w:val="24"/>
          <w:lang w:eastAsia="en-US"/>
        </w:rPr>
      </w:pPr>
      <w:r w:rsidRPr="008850F1">
        <w:rPr>
          <w:rFonts w:asciiTheme="minorHAnsi" w:hAnsiTheme="minorHAnsi" w:cs="Courier New"/>
          <w:b/>
          <w:color w:val="0D0D0D" w:themeColor="text1" w:themeTint="F2"/>
          <w:sz w:val="24"/>
          <w:szCs w:val="24"/>
          <w:lang w:eastAsia="en-US"/>
        </w:rPr>
        <w:t>PHA</w:t>
      </w:r>
      <w:r w:rsidR="00515A70" w:rsidRPr="008850F1">
        <w:rPr>
          <w:rFonts w:eastAsia="Times New Roman" w:cstheme="minorHAnsi"/>
          <w:b/>
          <w:color w:val="0D0D0D" w:themeColor="text1" w:themeTint="F2"/>
          <w:sz w:val="24"/>
          <w:szCs w:val="24"/>
          <w:lang w:val="es-ES_tradnl"/>
        </w:rPr>
        <w:t xml:space="preserve"> / </w:t>
      </w:r>
      <w:r w:rsidRPr="008850F1">
        <w:rPr>
          <w:rFonts w:asciiTheme="minorHAnsi" w:hAnsiTheme="minorHAnsi" w:cs="Courier New"/>
          <w:b/>
          <w:color w:val="0D0D0D" w:themeColor="text1" w:themeTint="F2"/>
          <w:sz w:val="24"/>
          <w:szCs w:val="24"/>
          <w:lang w:eastAsia="en-US"/>
        </w:rPr>
        <w:t xml:space="preserve">Estudios del pasado: </w:t>
      </w:r>
      <w:r w:rsidR="006C3F27">
        <w:rPr>
          <w:rFonts w:asciiTheme="minorHAnsi" w:hAnsiTheme="minorHAnsi" w:cs="Courier New"/>
          <w:b/>
          <w:color w:val="0D0D0D" w:themeColor="text1" w:themeTint="F2"/>
          <w:sz w:val="24"/>
          <w:szCs w:val="24"/>
          <w:lang w:eastAsia="en-US"/>
        </w:rPr>
        <w:t>h</w:t>
      </w:r>
      <w:r w:rsidRPr="008850F1">
        <w:rPr>
          <w:rFonts w:asciiTheme="minorHAnsi" w:hAnsiTheme="minorHAnsi" w:cs="Courier New"/>
          <w:b/>
          <w:color w:val="0D0D0D" w:themeColor="text1" w:themeTint="F2"/>
          <w:sz w:val="24"/>
          <w:szCs w:val="24"/>
          <w:lang w:eastAsia="en-US"/>
        </w:rPr>
        <w:t xml:space="preserve">istoria y </w:t>
      </w:r>
      <w:r w:rsidR="003451C6" w:rsidRPr="008850F1">
        <w:rPr>
          <w:rFonts w:asciiTheme="minorHAnsi" w:hAnsiTheme="minorHAnsi" w:cs="Courier New"/>
          <w:b/>
          <w:color w:val="0D0D0D" w:themeColor="text1" w:themeTint="F2"/>
          <w:sz w:val="24"/>
          <w:szCs w:val="24"/>
          <w:lang w:eastAsia="en-US"/>
        </w:rPr>
        <w:t>a</w:t>
      </w:r>
      <w:r w:rsidRPr="008850F1">
        <w:rPr>
          <w:rFonts w:asciiTheme="minorHAnsi" w:hAnsiTheme="minorHAnsi" w:cs="Courier New"/>
          <w:b/>
          <w:color w:val="0D0D0D" w:themeColor="text1" w:themeTint="F2"/>
          <w:sz w:val="24"/>
          <w:szCs w:val="24"/>
          <w:lang w:eastAsia="en-US"/>
        </w:rPr>
        <w:t>rqueología</w:t>
      </w:r>
    </w:p>
    <w:p w:rsidR="00F038D1" w:rsidRPr="008850F1" w:rsidRDefault="00F038D1" w:rsidP="00641A90">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F038D1" w:rsidRPr="008850F1" w:rsidRDefault="00F038D1" w:rsidP="00641A90">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Abarca el estudio de todas las etapas históricas de la humanidad (prehistoria, historia antigua, historia medieval, historia moderna, historia contemporánea) hasta el mundo actual, en todas sus aproximaciones metodológicas y diversidad temática (política, sociedad, economía, cultura, religión, etc.), incluyendo sus realizaciones culturales y patrimonio. Comprende también el análisis de todos esos períodos mediante la arqueología, la etnoarqueología, la arqueometría, las tecnologías geoespaciales y de la información. Engloba igualmente las ciencias y técnicas historiográficas, la historia del género, la historia de América, los estudios acerca de la memoria histórica y poscoloniales. Integra proyectos de humanidades digitales para los ámbitos mencionados.</w:t>
      </w:r>
    </w:p>
    <w:p w:rsidR="00F110F7" w:rsidRPr="008850F1" w:rsidRDefault="00F110F7" w:rsidP="00641A90">
      <w:pPr>
        <w:autoSpaceDE w:val="0"/>
        <w:autoSpaceDN w:val="0"/>
        <w:adjustRightInd w:val="0"/>
        <w:spacing w:after="0" w:line="240" w:lineRule="auto"/>
        <w:jc w:val="both"/>
        <w:rPr>
          <w:rFonts w:asciiTheme="minorHAnsi" w:hAnsiTheme="minorHAnsi" w:cs="Courier New"/>
          <w:color w:val="0D0D0D" w:themeColor="text1" w:themeTint="F2"/>
          <w:sz w:val="24"/>
          <w:szCs w:val="24"/>
          <w:lang w:eastAsia="en-US"/>
        </w:rPr>
      </w:pPr>
    </w:p>
    <w:p w:rsidR="003451C6" w:rsidRPr="008850F1" w:rsidRDefault="003451C6" w:rsidP="003451C6">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6C3F27" w:rsidRPr="008850F1" w:rsidRDefault="006C3F27" w:rsidP="006C3F27">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ARQ / Arqueología</w:t>
      </w:r>
    </w:p>
    <w:p w:rsidR="003451C6" w:rsidRPr="008850F1" w:rsidRDefault="003451C6" w:rsidP="003451C6">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HIS / Historia</w:t>
      </w:r>
    </w:p>
    <w:p w:rsidR="00706D07" w:rsidRDefault="00706D07" w:rsidP="003451C6">
      <w:pPr>
        <w:jc w:val="both"/>
        <w:rPr>
          <w:rFonts w:cstheme="minorHAnsi"/>
          <w:color w:val="0D0D0D" w:themeColor="text1" w:themeTint="F2"/>
          <w:sz w:val="24"/>
          <w:szCs w:val="24"/>
          <w:lang w:val="es-ES_tradnl"/>
        </w:rPr>
      </w:pPr>
    </w:p>
    <w:p w:rsidR="00F110F7" w:rsidRPr="008850F1" w:rsidRDefault="00F110F7" w:rsidP="003451C6">
      <w:pPr>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PSI</w:t>
      </w:r>
      <w:r w:rsidR="00515A70" w:rsidRPr="008850F1">
        <w:rPr>
          <w:rFonts w:eastAsia="Times New Roman" w:cstheme="minorHAnsi"/>
          <w:b/>
          <w:color w:val="0D0D0D" w:themeColor="text1" w:themeTint="F2"/>
          <w:sz w:val="24"/>
          <w:szCs w:val="24"/>
          <w:lang w:val="es-ES_tradnl"/>
        </w:rPr>
        <w:t xml:space="preserve"> / </w:t>
      </w:r>
      <w:r w:rsidRPr="008850F1">
        <w:rPr>
          <w:rFonts w:eastAsia="Times New Roman" w:cstheme="minorHAnsi"/>
          <w:b/>
          <w:color w:val="0D0D0D" w:themeColor="text1" w:themeTint="F2"/>
          <w:sz w:val="24"/>
          <w:szCs w:val="24"/>
          <w:lang w:val="es-ES_tradnl"/>
        </w:rPr>
        <w:t>Psicología</w:t>
      </w:r>
    </w:p>
    <w:p w:rsidR="00154915" w:rsidRPr="008850F1" w:rsidRDefault="00154915" w:rsidP="008850F1">
      <w:pPr>
        <w:tabs>
          <w:tab w:val="left" w:pos="2828"/>
        </w:tabs>
        <w:spacing w:line="240" w:lineRule="auto"/>
        <w:ind w:hanging="11"/>
        <w:jc w:val="both"/>
        <w:rPr>
          <w:rFonts w:eastAsia="Times New Roman" w:cstheme="minorHAnsi"/>
          <w:color w:val="0D0D0D" w:themeColor="text1" w:themeTint="F2"/>
          <w:sz w:val="24"/>
          <w:szCs w:val="24"/>
          <w:lang w:val="es-ES_tradnl"/>
        </w:rPr>
      </w:pPr>
      <w:r w:rsidRPr="008850F1">
        <w:rPr>
          <w:rFonts w:eastAsia="Times New Roman" w:cstheme="minorHAnsi"/>
          <w:color w:val="0D0D0D" w:themeColor="text1" w:themeTint="F2"/>
          <w:sz w:val="24"/>
          <w:szCs w:val="24"/>
          <w:lang w:val="es-ES_tradnl"/>
        </w:rPr>
        <w:t>Incluye proyectos sobre los procesos de aprendizaje, cognitivos, emocionales, motivacionales, de personalidad, interpersonales y sociales en el ser humano, así como los métodos para su medición e intervención. El objetivo fundamental es comprender el papel individual o colectivo de estos procesos, así como sus bases psicológicas, contextuales y biológicas y su desarrollo desde la infancia hasta la vejez. Abarca el estudio de las estrategias de intervención psicológica en diferentes ámbitos de la actividad humana como el diagnóstico, tratamiento y prevención de los trastornos mentales, la salud, la familia, el trabajo, la educación, el comportamiento ambiental, la actividad física y deportiva, las organizaciones, las situaciones de conflicto y riesgos psicosociales, la psicología jurídica o la psicología política. El área engloba la investigación de la psicología básica y experimental (aprendizaje, memoria, percepción, atención, lenguaje, pensamiento, inteligencia, motivación, emoción, cognición social); de las bases biológicas del comportamiento y la mente (psicobiología, neuropsicología, neurociencia cognitiva y afectiva, psicología fisiológica, psicofarmacología y etología); de la psicología de la personalidad, la psicología clínica y de la salud, donde se abordan procesos psicopatológicos y trastornos mentales y del comportamiento, así como el desarrollo de instrumentos de psicodiagnóstico y métodos de intervención psicoterapéutica; de la psicología social, que aborda el estudio de la interacción social entre individuos y entre grupos en diversos contextos sociales, abarcando el estudio de las actitudes, normas, prejuicios, conflicto, discriminación e influencia social, comportamiento colectivo, violencia, comportamiento pro-social, así como el contexto del trabajo, la conducta organizacional, y el desarrollo de recursos humanos; de la psicología evolutiva y del desarrollo, que abordan procesos de cambio comportamental y/o cognitivo a lo largo del ciclo vital, y la investigación en el ámbito de la psicología de la educación; de las metodologías de las ciencias del comportamiento y psicometría, que son transversales a todos estos ámbitos de la psicología.</w:t>
      </w:r>
    </w:p>
    <w:p w:rsidR="0091061F" w:rsidRPr="00DA1DD6" w:rsidRDefault="0091061F" w:rsidP="00515A70">
      <w:pPr>
        <w:rPr>
          <w:rFonts w:eastAsia="Times New Roman" w:cstheme="minorHAnsi"/>
          <w:b/>
          <w:color w:val="0D0D0D" w:themeColor="text1" w:themeTint="F2"/>
          <w:sz w:val="24"/>
          <w:szCs w:val="24"/>
          <w:u w:val="single"/>
          <w:lang w:val="es-ES_tradnl"/>
        </w:rPr>
      </w:pPr>
      <w:r w:rsidRPr="00DA1DD6">
        <w:rPr>
          <w:rFonts w:eastAsia="Times New Roman" w:cstheme="minorHAnsi"/>
          <w:b/>
          <w:color w:val="0D0D0D" w:themeColor="text1" w:themeTint="F2"/>
          <w:sz w:val="24"/>
          <w:szCs w:val="24"/>
          <w:u w:val="single"/>
          <w:lang w:val="es-ES_tradnl"/>
        </w:rPr>
        <w:lastRenderedPageBreak/>
        <w:t>CIENCIAS DE LA VIDA</w:t>
      </w:r>
    </w:p>
    <w:p w:rsidR="0091061F" w:rsidRPr="008850F1" w:rsidRDefault="0091061F" w:rsidP="0091061F">
      <w:pPr>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BIO / Biociencias y biotecnología</w:t>
      </w:r>
    </w:p>
    <w:p w:rsidR="000A38DD" w:rsidRPr="00654664" w:rsidRDefault="00706D07" w:rsidP="000A38DD">
      <w:pPr>
        <w:spacing w:before="100" w:beforeAutospacing="1" w:after="100" w:afterAutospacing="1" w:line="240" w:lineRule="auto"/>
        <w:jc w:val="both"/>
        <w:rPr>
          <w:rFonts w:ascii="Times New Roman" w:eastAsia="Times New Roman" w:hAnsi="Times New Roman"/>
          <w:color w:val="000000" w:themeColor="text1"/>
          <w:sz w:val="24"/>
          <w:szCs w:val="24"/>
        </w:rPr>
      </w:pPr>
      <w:r>
        <w:rPr>
          <w:rFonts w:eastAsia="Times New Roman"/>
          <w:color w:val="000000" w:themeColor="text1"/>
        </w:rPr>
        <w:t>El área abarca las i</w:t>
      </w:r>
      <w:r w:rsidR="000A38DD" w:rsidRPr="00654664">
        <w:rPr>
          <w:rFonts w:eastAsia="Times New Roman"/>
          <w:color w:val="000000" w:themeColor="text1"/>
        </w:rPr>
        <w:t>nvestigaciones sobre las bases moleculares y estructurales de las funciones biológicas y sus interrelaciones, desde el nivel molecular al del organismo</w:t>
      </w:r>
      <w:r>
        <w:rPr>
          <w:rFonts w:eastAsia="Times New Roman"/>
          <w:color w:val="000000" w:themeColor="text1"/>
        </w:rPr>
        <w:t>,</w:t>
      </w:r>
      <w:r w:rsidR="000A38DD" w:rsidRPr="00654664">
        <w:rPr>
          <w:rFonts w:eastAsia="Times New Roman"/>
          <w:color w:val="000000" w:themeColor="text1"/>
        </w:rPr>
        <w:t xml:space="preserve"> </w:t>
      </w:r>
      <w:r>
        <w:rPr>
          <w:rFonts w:eastAsia="Times New Roman"/>
          <w:color w:val="000000" w:themeColor="text1"/>
        </w:rPr>
        <w:t>en cualquier ser vivo. I</w:t>
      </w:r>
      <w:r w:rsidR="000A38DD" w:rsidRPr="00654664">
        <w:rPr>
          <w:rFonts w:eastAsia="Times New Roman"/>
          <w:color w:val="000000" w:themeColor="text1"/>
        </w:rPr>
        <w:t xml:space="preserve">ncluye estudios básicos de biología molecular y celular,  genética, bioquímica, microbiología, virología, fisiología, neurobiología y desarrollo, inmunología y biología computacional, estructural y de sistemas, con la excepción de aquéllos cuyo objetivo principal esté directamente relacionado con patologías y/o pretenda mejorar la salud humana o la agroalimentación. También incluye la investigación orientada al desarrollo de productos biotecnológicos, pudiendo tener campos de origen o aplicación también en otras áreas (por ejemplo, los relacionados con los biosensores, biomarcadores, biocomputación, nanobiotecnología, </w:t>
      </w:r>
      <w:r w:rsidR="000A38DD" w:rsidRPr="00654664">
        <w:rPr>
          <w:color w:val="000000" w:themeColor="text1"/>
        </w:rPr>
        <w:t>biotransformaciones, proteínas de interés industrial o vacunas</w:t>
      </w:r>
      <w:r w:rsidR="000A38DD" w:rsidRPr="00654664">
        <w:rPr>
          <w:rFonts w:eastAsia="Times New Roman"/>
          <w:color w:val="000000" w:themeColor="text1"/>
        </w:rPr>
        <w:t xml:space="preserve">). Esta área contempla tanto las investigaciones básicas en el ámbito como aquellas que </w:t>
      </w:r>
      <w:r w:rsidR="000A38DD">
        <w:rPr>
          <w:rFonts w:eastAsia="Times New Roman"/>
          <w:color w:val="000000" w:themeColor="text1"/>
        </w:rPr>
        <w:t>persiguen</w:t>
      </w:r>
      <w:r w:rsidR="000A38DD" w:rsidRPr="00654664">
        <w:rPr>
          <w:rFonts w:eastAsia="Times New Roman"/>
          <w:color w:val="000000" w:themeColor="text1"/>
        </w:rPr>
        <w:t xml:space="preserve"> acciones de tr</w:t>
      </w:r>
      <w:r w:rsidR="00ED2F19">
        <w:rPr>
          <w:rFonts w:eastAsia="Times New Roman"/>
          <w:color w:val="000000" w:themeColor="text1"/>
        </w:rPr>
        <w:t>ansferencia. Se valoran también</w:t>
      </w:r>
      <w:r w:rsidR="000A38DD" w:rsidRPr="00654664">
        <w:rPr>
          <w:rFonts w:eastAsia="Times New Roman"/>
          <w:color w:val="000000" w:themeColor="text1"/>
        </w:rPr>
        <w:t xml:space="preserve"> los proyectos interdisciplinares y/o de frontera.</w:t>
      </w:r>
    </w:p>
    <w:p w:rsidR="0091061F" w:rsidRPr="008850F1" w:rsidRDefault="0091061F" w:rsidP="0091061F">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BIF / Biología integrativa y fisiología</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BMC / Biología molecular y celular</w:t>
      </w:r>
    </w:p>
    <w:p w:rsidR="0091061F" w:rsidRPr="008850F1" w:rsidRDefault="0091061F" w:rsidP="00DA1DD6">
      <w:pPr>
        <w:spacing w:after="24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BTC / Biotecnología</w:t>
      </w:r>
    </w:p>
    <w:p w:rsidR="0091061F" w:rsidRPr="008850F1" w:rsidRDefault="0091061F" w:rsidP="00DA1DD6">
      <w:pPr>
        <w:spacing w:after="240"/>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BME / Biomedicina</w:t>
      </w:r>
    </w:p>
    <w:p w:rsidR="0091061F" w:rsidRPr="008850F1" w:rsidRDefault="0091061F" w:rsidP="0091061F">
      <w:pPr>
        <w:spacing w:line="240" w:lineRule="auto"/>
        <w:jc w:val="both"/>
        <w:rPr>
          <w:rFonts w:eastAsia="Times New Roman" w:cstheme="minorHAnsi"/>
          <w:color w:val="0D0D0D" w:themeColor="text1" w:themeTint="F2"/>
          <w:sz w:val="24"/>
          <w:szCs w:val="24"/>
        </w:rPr>
      </w:pPr>
      <w:r w:rsidRPr="008850F1">
        <w:rPr>
          <w:rFonts w:eastAsia="Times New Roman" w:cstheme="minorHAnsi"/>
          <w:color w:val="0D0D0D" w:themeColor="text1" w:themeTint="F2"/>
          <w:sz w:val="24"/>
          <w:szCs w:val="24"/>
        </w:rPr>
        <w:t>Se trata de un programa transversal de investigación en el área de salud. Abarca el estudio de los mecanismos etiopatogénicos de la mayor parte de las patologías relevantes en la sociedad, incluyendo enfermedades del sistema nervioso, cardiovasculares, gastrointestinales, metabólicas, tumorales, inflamatorias e infecciosas. El programa pone especial énfasis en la caracterización de las bases celulares, moleculares y genéticas implicadas en la génesis y desarrollo de distintas enfermedades, así como en los avances diagnósticos y farmacológicos, y en las nuevas terapias. A diferencia de otros programas de investigación clínica en el área de salud, que no persiguen necesariamente un mejor conocimiento de mecanismos que causan la enfermedad, el programa tiene un claro eje molecular, celular y fisiopatológico, siendo prioritaria la búsqueda e identificación de mecanismos moleculares que subyacen a las enfermedades. El carácter transversal reside en su enfoque multidisciplinar, que incluye el desarrollo de una variedad de tecnologías, como las “ómicas”, y su aplicación al estudio de la patología.</w:t>
      </w:r>
    </w:p>
    <w:p w:rsidR="0091061F" w:rsidRPr="008850F1" w:rsidRDefault="0091061F" w:rsidP="0091061F">
      <w:pPr>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CAN / Cáncer</w:t>
      </w:r>
    </w:p>
    <w:p w:rsidR="00ED2F19"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DPT / Herramientas diagnósticas, pronosticas y terapéuticas</w:t>
      </w:r>
    </w:p>
    <w:p w:rsidR="0091061F"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ESN / Enfermedades del sistema nervioso</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FOS / Fisiopatología de órganos y sistemas</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lastRenderedPageBreak/>
        <w:t>IIT / Inmunidad, infección y nuevas terapias</w:t>
      </w:r>
    </w:p>
    <w:p w:rsidR="0091061F" w:rsidRDefault="0091061F" w:rsidP="00DA1DD6">
      <w:pPr>
        <w:spacing w:after="24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MCL / Medicina clínica</w:t>
      </w:r>
      <w:r w:rsidR="007D4A5D">
        <w:rPr>
          <w:rFonts w:cstheme="minorHAnsi"/>
          <w:color w:val="0D0D0D" w:themeColor="text1" w:themeTint="F2"/>
          <w:sz w:val="24"/>
          <w:szCs w:val="24"/>
          <w:lang w:val="es-ES_tradnl"/>
        </w:rPr>
        <w:t>(*)</w:t>
      </w:r>
    </w:p>
    <w:p w:rsidR="0091061F" w:rsidRPr="008850F1" w:rsidRDefault="00E66CF7" w:rsidP="00DA1DD6">
      <w:pPr>
        <w:spacing w:after="240"/>
        <w:rPr>
          <w:rFonts w:eastAsia="Times New Roman" w:cstheme="minorHAnsi"/>
          <w:b/>
          <w:color w:val="0D0D0D" w:themeColor="text1" w:themeTint="F2"/>
          <w:sz w:val="24"/>
          <w:szCs w:val="24"/>
          <w:lang w:val="es-ES_tradnl"/>
        </w:rPr>
      </w:pPr>
      <w:r>
        <w:rPr>
          <w:rFonts w:eastAsia="Times New Roman" w:cstheme="minorHAnsi"/>
          <w:b/>
          <w:color w:val="0D0D0D" w:themeColor="text1" w:themeTint="F2"/>
          <w:sz w:val="24"/>
          <w:szCs w:val="24"/>
          <w:lang w:val="es-ES_tradnl"/>
        </w:rPr>
        <w:t xml:space="preserve">CAA / </w:t>
      </w:r>
      <w:r w:rsidR="0091061F" w:rsidRPr="008850F1">
        <w:rPr>
          <w:rFonts w:eastAsia="Times New Roman" w:cstheme="minorHAnsi"/>
          <w:b/>
          <w:color w:val="0D0D0D" w:themeColor="text1" w:themeTint="F2"/>
          <w:sz w:val="24"/>
          <w:szCs w:val="24"/>
          <w:lang w:val="es-ES_tradnl"/>
        </w:rPr>
        <w:t>Ciencias agrarias y agroalimentarias</w:t>
      </w:r>
    </w:p>
    <w:p w:rsidR="0091061F" w:rsidRPr="008850F1" w:rsidRDefault="0091061F" w:rsidP="00DA1DD6">
      <w:pPr>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Distintas organizaciones internacionales indican que alrededor del 50</w:t>
      </w:r>
      <w:r w:rsidR="00E66CF7">
        <w:rPr>
          <w:rFonts w:asciiTheme="minorHAnsi" w:hAnsiTheme="minorHAnsi" w:cs="Courier New"/>
          <w:color w:val="0D0D0D" w:themeColor="text1" w:themeTint="F2"/>
          <w:sz w:val="24"/>
          <w:szCs w:val="24"/>
          <w:lang w:eastAsia="en-US"/>
        </w:rPr>
        <w:t xml:space="preserve"> </w:t>
      </w:r>
      <w:r w:rsidRPr="008850F1">
        <w:rPr>
          <w:rFonts w:asciiTheme="minorHAnsi" w:hAnsiTheme="minorHAnsi" w:cs="Courier New"/>
          <w:color w:val="0D0D0D" w:themeColor="text1" w:themeTint="F2"/>
          <w:sz w:val="24"/>
          <w:szCs w:val="24"/>
          <w:lang w:eastAsia="en-US"/>
        </w:rPr>
        <w:t>% de la superficie de la Tierra se dedica a la agricultura, 37</w:t>
      </w:r>
      <w:r w:rsidR="00E66CF7">
        <w:rPr>
          <w:rFonts w:asciiTheme="minorHAnsi" w:hAnsiTheme="minorHAnsi" w:cs="Courier New"/>
          <w:color w:val="0D0D0D" w:themeColor="text1" w:themeTint="F2"/>
          <w:sz w:val="24"/>
          <w:szCs w:val="24"/>
          <w:lang w:eastAsia="en-US"/>
        </w:rPr>
        <w:t xml:space="preserve"> </w:t>
      </w:r>
      <w:r w:rsidRPr="008850F1">
        <w:rPr>
          <w:rFonts w:asciiTheme="minorHAnsi" w:hAnsiTheme="minorHAnsi" w:cs="Courier New"/>
          <w:color w:val="0D0D0D" w:themeColor="text1" w:themeTint="F2"/>
          <w:sz w:val="24"/>
          <w:szCs w:val="24"/>
          <w:lang w:eastAsia="en-US"/>
        </w:rPr>
        <w:t>% corresponde a masas forestales, 12</w:t>
      </w:r>
      <w:r w:rsidR="00E66CF7">
        <w:rPr>
          <w:rFonts w:asciiTheme="minorHAnsi" w:hAnsiTheme="minorHAnsi" w:cs="Courier New"/>
          <w:color w:val="0D0D0D" w:themeColor="text1" w:themeTint="F2"/>
          <w:sz w:val="24"/>
          <w:szCs w:val="24"/>
          <w:lang w:eastAsia="en-US"/>
        </w:rPr>
        <w:t xml:space="preserve"> </w:t>
      </w:r>
      <w:r w:rsidRPr="008850F1">
        <w:rPr>
          <w:rFonts w:asciiTheme="minorHAnsi" w:hAnsiTheme="minorHAnsi" w:cs="Courier New"/>
          <w:color w:val="0D0D0D" w:themeColor="text1" w:themeTint="F2"/>
          <w:sz w:val="24"/>
          <w:szCs w:val="24"/>
          <w:lang w:eastAsia="en-US"/>
        </w:rPr>
        <w:t>% son terrenos marginales y el 1</w:t>
      </w:r>
      <w:r w:rsidR="00E66CF7">
        <w:rPr>
          <w:rFonts w:asciiTheme="minorHAnsi" w:hAnsiTheme="minorHAnsi" w:cs="Courier New"/>
          <w:color w:val="0D0D0D" w:themeColor="text1" w:themeTint="F2"/>
          <w:sz w:val="24"/>
          <w:szCs w:val="24"/>
          <w:lang w:eastAsia="en-US"/>
        </w:rPr>
        <w:t xml:space="preserve"> </w:t>
      </w:r>
      <w:r w:rsidRPr="008850F1">
        <w:rPr>
          <w:rFonts w:asciiTheme="minorHAnsi" w:hAnsiTheme="minorHAnsi" w:cs="Courier New"/>
          <w:color w:val="0D0D0D" w:themeColor="text1" w:themeTint="F2"/>
          <w:sz w:val="24"/>
          <w:szCs w:val="24"/>
          <w:lang w:eastAsia="en-US"/>
        </w:rPr>
        <w:t xml:space="preserve">% representan zonas urbanas. Con el crecimiento de la población mundial, el reto de la humanidad es el de garantizar una alimentación saludable y segura mediante una agricultura y producción animal novedosa y competitiva, dentro de un escenario global y climático cambiante. La investigación en Ciencias agrarias y agroalimentarias persigue contribuir a la sostenibilidad y la economía circular de los sistemas agrarios y naturales, abordando investigación fundamental y dirigida. </w:t>
      </w:r>
      <w:r w:rsidR="000A38DD">
        <w:rPr>
          <w:lang w:eastAsia="en-US"/>
        </w:rPr>
        <w:t xml:space="preserve">La subárea de </w:t>
      </w:r>
      <w:r w:rsidR="000A38DD" w:rsidRPr="000A38DD">
        <w:rPr>
          <w:lang w:eastAsia="en-US"/>
        </w:rPr>
        <w:t>“</w:t>
      </w:r>
      <w:r w:rsidR="000A38DD" w:rsidRPr="00DA1DD6">
        <w:rPr>
          <w:bCs/>
          <w:lang w:eastAsia="en-US"/>
        </w:rPr>
        <w:t>Agricultura y Forestal”</w:t>
      </w:r>
      <w:r w:rsidR="000A38DD">
        <w:rPr>
          <w:lang w:eastAsia="en-US"/>
        </w:rPr>
        <w:t xml:space="preserve"> contempla estudios de cultivos hortícolas, herbáceos, leñosos, sistemas de producción forestales y economía agraria. Las actividades de investigación en esta subárea incluyen estudios sobre el manejo y las interacciones entre los sistemas suelo-agua- planta-atmósfera en relación con la producción y calidad de los cultivos, efectos de estreses bióticos y abióticos en las cosechas, lucha biológica contra plagas y enfermedades, mejora genética de plantas y conservación de recursos fitogenéticos, fisiología, nutrición y bioquímica vegetal, biotecnología vegetal, biología molecular de plantas de interés en agricultura y sistemas modelos. </w:t>
      </w:r>
      <w:r w:rsidRPr="008850F1">
        <w:rPr>
          <w:rFonts w:asciiTheme="minorHAnsi" w:hAnsiTheme="minorHAnsi" w:cs="Courier New"/>
          <w:color w:val="0D0D0D" w:themeColor="text1" w:themeTint="F2"/>
          <w:sz w:val="24"/>
          <w:szCs w:val="24"/>
          <w:lang w:eastAsia="en-US"/>
        </w:rPr>
        <w:t xml:space="preserve">La subárea de “Ganadería y Acuicultura” cubre aspectos de investigación fundamental y aplicada </w:t>
      </w:r>
      <w:r w:rsidRPr="008850F1">
        <w:rPr>
          <w:rFonts w:eastAsia="Times New Roman" w:cstheme="minorHAnsi"/>
          <w:color w:val="0D0D0D" w:themeColor="text1" w:themeTint="F2"/>
          <w:sz w:val="24"/>
          <w:szCs w:val="24"/>
        </w:rPr>
        <w:t>en especies de animales domésticos y de utilidad productiva, pero también, en determinados casos, en fauna silvestre.</w:t>
      </w:r>
      <w:r w:rsidRPr="008850F1">
        <w:rPr>
          <w:rFonts w:asciiTheme="minorHAnsi" w:hAnsiTheme="minorHAnsi" w:cs="Courier New"/>
          <w:color w:val="0D0D0D" w:themeColor="text1" w:themeTint="F2"/>
          <w:sz w:val="24"/>
          <w:szCs w:val="24"/>
          <w:lang w:eastAsia="en-US"/>
        </w:rPr>
        <w:t xml:space="preserve"> </w:t>
      </w:r>
      <w:r w:rsidRPr="008850F1">
        <w:rPr>
          <w:rFonts w:eastAsia="Times New Roman" w:cstheme="minorHAnsi"/>
          <w:color w:val="0D0D0D" w:themeColor="text1" w:themeTint="F2"/>
          <w:sz w:val="24"/>
          <w:szCs w:val="24"/>
        </w:rPr>
        <w:t xml:space="preserve">El enfoque metodológico es multidisciplinar, con un fuerte protagonismo de la experimentación animal. Abarca la investigación referida a la sanidad, producción, nutrición, reproducción y genética de especies animales de interés </w:t>
      </w:r>
      <w:r w:rsidRPr="008850F1">
        <w:rPr>
          <w:rFonts w:asciiTheme="minorHAnsi" w:hAnsiTheme="minorHAnsi" w:cs="Courier New"/>
          <w:color w:val="0D0D0D" w:themeColor="text1" w:themeTint="F2"/>
          <w:sz w:val="24"/>
          <w:szCs w:val="24"/>
          <w:lang w:eastAsia="en-US"/>
        </w:rPr>
        <w:t>para la ganadería, la acuicultura y la fauna silvestre</w:t>
      </w:r>
      <w:r w:rsidRPr="008850F1">
        <w:rPr>
          <w:rFonts w:eastAsia="Times New Roman" w:cstheme="minorHAnsi"/>
          <w:color w:val="0D0D0D" w:themeColor="text1" w:themeTint="F2"/>
          <w:sz w:val="24"/>
          <w:szCs w:val="24"/>
        </w:rPr>
        <w:t xml:space="preserve">, aunque también se contemplan estudios farmacológicos, toxicológicos, de medicina interna y cirugía y otras temáticas relacionadas. </w:t>
      </w:r>
      <w:r w:rsidRPr="008850F1">
        <w:rPr>
          <w:rFonts w:asciiTheme="minorHAnsi" w:hAnsiTheme="minorHAnsi" w:cs="Courier New"/>
          <w:color w:val="0D0D0D" w:themeColor="text1" w:themeTint="F2"/>
          <w:sz w:val="24"/>
          <w:szCs w:val="24"/>
          <w:lang w:eastAsia="en-US"/>
        </w:rPr>
        <w:t xml:space="preserve">Los productos de las dos subáreas anteriores dan lugar a una amplia variedad de alimentos, siendo la subárea de “Ciencia y Tecnología de Alimentos”  la que aborda las investigaciones referidas a la obtención y conservación de los alimentos, así como a la evaluación física, química y funcional de los mismos y/o sus componentes. Se atiende globalmente a la calidad, trazabilidad y autenticidad de los alimentos, así como a la seguridad alimentaria. Esta subárea abarca igualmente investigaciones relativas a la nutrición, el metabolismo y la funcionalidad de los componentes de los alimentos, y más específicamente, sus efectos en la salud humana. </w:t>
      </w:r>
    </w:p>
    <w:p w:rsidR="0091061F" w:rsidRPr="008850F1" w:rsidRDefault="0091061F" w:rsidP="0091061F">
      <w:pPr>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E66CF7" w:rsidRPr="008850F1" w:rsidRDefault="00E66CF7" w:rsidP="00E66CF7">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ALI / Ciencia y tecnología de alimentos</w:t>
      </w:r>
    </w:p>
    <w:p w:rsidR="0091061F" w:rsidRPr="008850F1" w:rsidRDefault="0091061F" w:rsidP="0091061F">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AYF / Agricultura y forestal</w:t>
      </w:r>
    </w:p>
    <w:p w:rsidR="0091061F" w:rsidRPr="008850F1" w:rsidRDefault="0091061F" w:rsidP="00DA1DD6">
      <w:pPr>
        <w:spacing w:after="24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GYA / Ganadería y acuicultura</w:t>
      </w:r>
    </w:p>
    <w:p w:rsidR="00515A70" w:rsidRPr="008850F1" w:rsidRDefault="00515A70" w:rsidP="00DA1DD6">
      <w:pPr>
        <w:spacing w:after="240"/>
        <w:rPr>
          <w:rFonts w:asciiTheme="minorHAnsi" w:hAnsiTheme="minorHAnsi" w:cs="Courier New"/>
          <w:color w:val="0D0D0D" w:themeColor="text1" w:themeTint="F2"/>
          <w:sz w:val="24"/>
          <w:szCs w:val="24"/>
          <w:lang w:eastAsia="en-US"/>
        </w:rPr>
      </w:pPr>
      <w:r w:rsidRPr="008850F1">
        <w:rPr>
          <w:rFonts w:eastAsia="Times New Roman" w:cstheme="minorHAnsi"/>
          <w:b/>
          <w:color w:val="0D0D0D" w:themeColor="text1" w:themeTint="F2"/>
          <w:sz w:val="24"/>
          <w:szCs w:val="24"/>
          <w:lang w:val="es-ES_tradnl"/>
        </w:rPr>
        <w:lastRenderedPageBreak/>
        <w:t>CTM / Ciencias y tecnologías medioambientales</w:t>
      </w:r>
    </w:p>
    <w:p w:rsidR="00103A9A" w:rsidRPr="008850F1" w:rsidRDefault="00103A9A" w:rsidP="00DA1DD6">
      <w:pPr>
        <w:autoSpaceDE w:val="0"/>
        <w:autoSpaceDN w:val="0"/>
        <w:adjustRightInd w:val="0"/>
        <w:spacing w:after="120" w:line="240" w:lineRule="auto"/>
        <w:jc w:val="both"/>
        <w:rPr>
          <w:rFonts w:asciiTheme="minorHAnsi" w:hAnsiTheme="minorHAnsi" w:cs="Courier New"/>
          <w:color w:val="0D0D0D" w:themeColor="text1" w:themeTint="F2"/>
          <w:sz w:val="24"/>
          <w:szCs w:val="24"/>
          <w:lang w:eastAsia="en-US"/>
        </w:rPr>
      </w:pPr>
      <w:r w:rsidRPr="008850F1">
        <w:rPr>
          <w:rFonts w:asciiTheme="minorHAnsi" w:hAnsiTheme="minorHAnsi" w:cs="Courier New"/>
          <w:color w:val="0D0D0D" w:themeColor="text1" w:themeTint="F2"/>
          <w:sz w:val="24"/>
          <w:szCs w:val="24"/>
          <w:lang w:eastAsia="en-US"/>
        </w:rPr>
        <w:t>El área de CTM abarca varias subáreas con el denominador común de investigaciones relacionadas con los procesos ecológicos y medioambientales relacionados con el cambio global y climático. Desde los aspectos más fundamentales, considerados en BDV, MAR y POL, con enfoques sobre los procesos evolutivos que han generado la biodiversidad a todos los niveles de organización, desde los genes, poblaciones y especies hasta las comunidades y ecosistemas y sus interacciones con la actividad humana. Incluye también el desarrollo de tecnologías orientadas a la gestión, conservación y restauración de hábitats terrestres y marinos degradados o especies en peligro de extinción, incluyendo el desarrollo de herramientas y plataformas de observación, instrumentos de gestión y la investigación geológica y geofísica del medio terrestre (CTA). Abarca asimismo los aspectos básicos y tecnológicos relacionados con los sistemas marinos (CTM-MAR), tanto en su componente abiótica como biótica y las interacciones con los sistemas terrestre y atmosférico. CTM es un área multidisciplinar, que integra múltiples aspectos de los ambientes terrestres (BDV, CTA, POL), acuáticos y marinos (MAR, POL, CTA) de la biosfera, incluyendo: geodesia; geología; geodinámica; geofísica; astronomía y astrofísica; oceanografía; glaciología y criosfera; volcanología; geoquímica; interacción atmósfera-tierra-océano; modelización; biología; ecología; hidrología y limnología; microbiología; estudios faunísticos y productos naturales; ciclos biogeoquímicos; procesos y mecanismos de especiación; biodiversidad; edafología; física atmosférica y clima. Asimismo, los aspectos tecnológicos y aplicados al desarrollo sostenible y retos ante el cambio global y climático son abordados en las subáreas TMA y CYA; incluyen: transporte y urbanización sostenibles, contaminantes, energías alternativas, procesos de reciclado de residuos, contaminación atmosférica, desarrollo de bases científicas para la regulación de emisiones y para la elaboración e implementación de las nuevas directivas europeas de calidad del aire, procesos atmosféricos de cambio climático, eventos extremos del clima, entre otros.</w:t>
      </w:r>
    </w:p>
    <w:p w:rsidR="00515A70" w:rsidRPr="008850F1" w:rsidRDefault="00515A70" w:rsidP="00DA1DD6">
      <w:pPr>
        <w:spacing w:after="120" w:line="240" w:lineRule="auto"/>
        <w:ind w:right="3118"/>
        <w:jc w:val="both"/>
        <w:rPr>
          <w:rFonts w:eastAsia="Times New Roman" w:cstheme="minorHAnsi"/>
          <w:b/>
          <w:color w:val="0D0D0D" w:themeColor="text1" w:themeTint="F2"/>
          <w:sz w:val="24"/>
          <w:szCs w:val="24"/>
          <w:lang w:val="es-ES_tradnl"/>
        </w:rPr>
      </w:pPr>
      <w:r w:rsidRPr="008850F1">
        <w:rPr>
          <w:rFonts w:eastAsia="Times New Roman" w:cstheme="minorHAnsi"/>
          <w:b/>
          <w:color w:val="0D0D0D" w:themeColor="text1" w:themeTint="F2"/>
          <w:sz w:val="24"/>
          <w:szCs w:val="24"/>
          <w:lang w:val="es-ES_tradnl"/>
        </w:rPr>
        <w:t>Subáreas</w:t>
      </w:r>
    </w:p>
    <w:p w:rsidR="00515A70" w:rsidRPr="008850F1" w:rsidRDefault="00515A70" w:rsidP="00515A70">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BDV / Biodiversidad</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CTA / Ciencias de la tierra y del agua</w:t>
      </w:r>
    </w:p>
    <w:p w:rsidR="007D4A5D" w:rsidRPr="008850F1" w:rsidRDefault="007D4A5D" w:rsidP="007D4A5D">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CYA / Clima y atmósfera</w:t>
      </w:r>
    </w:p>
    <w:p w:rsidR="00515A70" w:rsidRPr="008850F1" w:rsidRDefault="00515A70" w:rsidP="00515A70">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MAR / Ciencia</w:t>
      </w:r>
      <w:r w:rsidR="007D4A5D">
        <w:rPr>
          <w:rFonts w:cstheme="minorHAnsi"/>
          <w:color w:val="0D0D0D" w:themeColor="text1" w:themeTint="F2"/>
          <w:sz w:val="24"/>
          <w:szCs w:val="24"/>
          <w:lang w:val="es-ES_tradnl"/>
        </w:rPr>
        <w:t>s</w:t>
      </w:r>
      <w:r w:rsidRPr="008850F1">
        <w:rPr>
          <w:rFonts w:cstheme="minorHAnsi"/>
          <w:color w:val="0D0D0D" w:themeColor="text1" w:themeTint="F2"/>
          <w:sz w:val="24"/>
          <w:szCs w:val="24"/>
          <w:lang w:val="es-ES_tradnl"/>
        </w:rPr>
        <w:t xml:space="preserve"> y tecnologías marinas</w:t>
      </w:r>
    </w:p>
    <w:p w:rsidR="00515A70" w:rsidRPr="008850F1" w:rsidRDefault="00515A70" w:rsidP="00515A70">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POL / Investigación polar</w:t>
      </w:r>
    </w:p>
    <w:p w:rsidR="00515A70" w:rsidRPr="008850F1" w:rsidRDefault="00515A70" w:rsidP="00515A70">
      <w:pPr>
        <w:spacing w:after="0"/>
        <w:rPr>
          <w:rFonts w:cstheme="minorHAnsi"/>
          <w:color w:val="0D0D0D" w:themeColor="text1" w:themeTint="F2"/>
          <w:sz w:val="24"/>
          <w:szCs w:val="24"/>
          <w:lang w:val="es-ES_tradnl"/>
        </w:rPr>
      </w:pPr>
      <w:r w:rsidRPr="008850F1">
        <w:rPr>
          <w:rFonts w:cstheme="minorHAnsi"/>
          <w:color w:val="0D0D0D" w:themeColor="text1" w:themeTint="F2"/>
          <w:sz w:val="24"/>
          <w:szCs w:val="24"/>
          <w:lang w:val="es-ES_tradnl"/>
        </w:rPr>
        <w:t>TMA / Tecnologías medioambientales</w:t>
      </w:r>
    </w:p>
    <w:p w:rsidR="00515A70" w:rsidRPr="008850F1" w:rsidRDefault="00515A70" w:rsidP="00515A70">
      <w:pPr>
        <w:spacing w:after="0"/>
        <w:rPr>
          <w:rFonts w:asciiTheme="minorHAnsi" w:hAnsiTheme="minorHAnsi"/>
          <w:color w:val="0D0D0D" w:themeColor="text1" w:themeTint="F2"/>
          <w:sz w:val="24"/>
          <w:szCs w:val="24"/>
          <w:lang w:val="es-ES_tradnl"/>
        </w:rPr>
      </w:pPr>
    </w:p>
    <w:p w:rsidR="00B20BD7" w:rsidRPr="008850F1" w:rsidRDefault="00B20BD7" w:rsidP="00DA1DD6">
      <w:pPr>
        <w:jc w:val="both"/>
        <w:rPr>
          <w:rFonts w:eastAsia="Times New Roman" w:cstheme="minorHAnsi"/>
          <w:color w:val="0D0D0D" w:themeColor="text1" w:themeTint="F2"/>
          <w:sz w:val="24"/>
          <w:szCs w:val="24"/>
          <w:lang w:val="es-ES_tradnl"/>
        </w:rPr>
      </w:pPr>
      <w:bookmarkStart w:id="1" w:name="_Hlk503720115"/>
      <w:r w:rsidRPr="008850F1">
        <w:rPr>
          <w:rFonts w:eastAsia="Times New Roman" w:cstheme="minorHAnsi"/>
          <w:color w:val="0D0D0D" w:themeColor="text1" w:themeTint="F2"/>
          <w:sz w:val="24"/>
          <w:szCs w:val="24"/>
          <w:lang w:val="es-ES_tradnl"/>
        </w:rPr>
        <w:t>Notas:</w:t>
      </w:r>
    </w:p>
    <w:bookmarkEnd w:id="1"/>
    <w:p w:rsidR="007D4A5D" w:rsidRPr="00DA1DD6" w:rsidRDefault="007D4A5D" w:rsidP="00DA1DD6">
      <w:pPr>
        <w:jc w:val="both"/>
        <w:rPr>
          <w:color w:val="0D0D0D" w:themeColor="text1" w:themeTint="F2"/>
          <w:sz w:val="24"/>
          <w:szCs w:val="24"/>
        </w:rPr>
      </w:pPr>
      <w:r w:rsidRPr="00DA1DD6">
        <w:rPr>
          <w:rFonts w:cstheme="minorHAnsi"/>
          <w:color w:val="0D0D0D" w:themeColor="text1" w:themeTint="F2"/>
          <w:sz w:val="24"/>
          <w:szCs w:val="24"/>
          <w:lang w:val="es-ES_tradnl"/>
        </w:rPr>
        <w:t>Las áreas Derecho, Ciencias de la Educación, Psicología y Ciencias Matemáticas no tienen subáreas identificadas (eventualmente se podrán incluir en las aplicaciones informáticas).</w:t>
      </w:r>
    </w:p>
    <w:p w:rsidR="006B48CB" w:rsidRDefault="007D4A5D" w:rsidP="00DA1DD6">
      <w:pPr>
        <w:jc w:val="both"/>
        <w:rPr>
          <w:rFonts w:cstheme="minorHAnsi"/>
          <w:color w:val="0D0D0D" w:themeColor="text1" w:themeTint="F2"/>
          <w:sz w:val="24"/>
          <w:szCs w:val="24"/>
          <w:lang w:val="es-ES_tradnl"/>
        </w:rPr>
      </w:pPr>
      <w:r>
        <w:rPr>
          <w:rFonts w:cstheme="minorHAnsi"/>
          <w:color w:val="0D0D0D" w:themeColor="text1" w:themeTint="F2"/>
          <w:sz w:val="24"/>
          <w:szCs w:val="24"/>
        </w:rPr>
        <w:t xml:space="preserve">(*) </w:t>
      </w:r>
      <w:r w:rsidR="00C00795" w:rsidRPr="00DA1DD6">
        <w:rPr>
          <w:rFonts w:cstheme="minorHAnsi"/>
          <w:color w:val="0D0D0D" w:themeColor="text1" w:themeTint="F2"/>
          <w:sz w:val="24"/>
          <w:szCs w:val="24"/>
          <w:lang w:val="es-ES_tradnl"/>
        </w:rPr>
        <w:t xml:space="preserve">La subárea </w:t>
      </w:r>
      <w:r>
        <w:rPr>
          <w:rFonts w:cstheme="minorHAnsi"/>
          <w:color w:val="0D0D0D" w:themeColor="text1" w:themeTint="F2"/>
          <w:sz w:val="24"/>
          <w:szCs w:val="24"/>
          <w:lang w:val="es-ES_tradnl"/>
        </w:rPr>
        <w:t xml:space="preserve">de </w:t>
      </w:r>
      <w:r w:rsidR="00B20BD7" w:rsidRPr="00DA1DD6">
        <w:rPr>
          <w:rFonts w:cstheme="minorHAnsi"/>
          <w:color w:val="0D0D0D" w:themeColor="text1" w:themeTint="F2"/>
          <w:sz w:val="24"/>
          <w:szCs w:val="24"/>
          <w:lang w:val="es-ES_tradnl"/>
        </w:rPr>
        <w:t xml:space="preserve">Medicina clínica </w:t>
      </w:r>
      <w:r>
        <w:rPr>
          <w:rFonts w:cstheme="minorHAnsi"/>
          <w:color w:val="0D0D0D" w:themeColor="text1" w:themeTint="F2"/>
          <w:sz w:val="24"/>
          <w:szCs w:val="24"/>
          <w:lang w:val="es-ES_tradnl"/>
        </w:rPr>
        <w:t xml:space="preserve">(MCL) </w:t>
      </w:r>
      <w:r w:rsidR="00B20BD7" w:rsidRPr="00DA1DD6">
        <w:rPr>
          <w:rFonts w:cstheme="minorHAnsi"/>
          <w:color w:val="0D0D0D" w:themeColor="text1" w:themeTint="F2"/>
          <w:sz w:val="24"/>
          <w:szCs w:val="24"/>
          <w:lang w:val="es-ES_tradnl"/>
        </w:rPr>
        <w:t>solo será visible en algunas convocatorias externas</w:t>
      </w:r>
      <w:r w:rsidR="00781B41" w:rsidRPr="00DA1DD6">
        <w:rPr>
          <w:rFonts w:cstheme="minorHAnsi"/>
          <w:color w:val="0D0D0D" w:themeColor="text1" w:themeTint="F2"/>
          <w:sz w:val="24"/>
          <w:szCs w:val="24"/>
          <w:lang w:val="es-ES_tradnl"/>
        </w:rPr>
        <w:t xml:space="preserve"> a la Agencia</w:t>
      </w:r>
      <w:r w:rsidR="00B20BD7" w:rsidRPr="00DA1DD6">
        <w:rPr>
          <w:rFonts w:cstheme="minorHAnsi"/>
          <w:color w:val="0D0D0D" w:themeColor="text1" w:themeTint="F2"/>
          <w:sz w:val="24"/>
          <w:szCs w:val="24"/>
          <w:lang w:val="es-ES_tradnl"/>
        </w:rPr>
        <w:t xml:space="preserve"> (FIS, AECC, etc.)</w:t>
      </w:r>
    </w:p>
    <w:p w:rsidR="006B48CB" w:rsidRDefault="006B48CB" w:rsidP="006B48CB">
      <w:pPr>
        <w:jc w:val="center"/>
        <w:rPr>
          <w:rFonts w:cstheme="minorHAnsi"/>
          <w:color w:val="0D0D0D" w:themeColor="text1" w:themeTint="F2"/>
          <w:sz w:val="24"/>
          <w:szCs w:val="24"/>
          <w:lang w:val="es-ES_tradnl"/>
        </w:rPr>
      </w:pPr>
    </w:p>
    <w:p w:rsidR="006B48CB" w:rsidRDefault="006B48CB" w:rsidP="006B48CB">
      <w:pPr>
        <w:jc w:val="center"/>
        <w:rPr>
          <w:rFonts w:cstheme="minorHAnsi"/>
          <w:color w:val="0D0D0D" w:themeColor="text1" w:themeTint="F2"/>
          <w:sz w:val="24"/>
          <w:szCs w:val="24"/>
          <w:lang w:val="es-ES_tradnl"/>
        </w:rPr>
      </w:pPr>
      <w:r w:rsidRPr="006B48CB">
        <w:rPr>
          <w:noProof/>
        </w:rPr>
        <w:drawing>
          <wp:inline distT="0" distB="0" distL="0" distR="0" wp14:anchorId="07DC1B90" wp14:editId="221A1D16">
            <wp:extent cx="5809364" cy="7979430"/>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364" cy="7979430"/>
                    </a:xfrm>
                    <a:prstGeom prst="rect">
                      <a:avLst/>
                    </a:prstGeom>
                    <a:noFill/>
                    <a:ln>
                      <a:noFill/>
                    </a:ln>
                  </pic:spPr>
                </pic:pic>
              </a:graphicData>
            </a:graphic>
          </wp:inline>
        </w:drawing>
      </w:r>
    </w:p>
    <w:sectPr w:rsidR="006B48CB" w:rsidSect="006B48CB">
      <w:headerReference w:type="default" r:id="rId10"/>
      <w:pgSz w:w="11906" w:h="16838" w:code="9"/>
      <w:pgMar w:top="0" w:right="1558" w:bottom="1134"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AB" w:rsidRDefault="006F3CAB" w:rsidP="00C929E8">
      <w:pPr>
        <w:spacing w:after="0" w:line="240" w:lineRule="auto"/>
      </w:pPr>
      <w:r>
        <w:separator/>
      </w:r>
    </w:p>
  </w:endnote>
  <w:endnote w:type="continuationSeparator" w:id="0">
    <w:p w:rsidR="006F3CAB" w:rsidRDefault="006F3CAB" w:rsidP="00C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AB" w:rsidRDefault="006F3CAB" w:rsidP="00C929E8">
      <w:pPr>
        <w:spacing w:after="0" w:line="240" w:lineRule="auto"/>
      </w:pPr>
      <w:r>
        <w:separator/>
      </w:r>
    </w:p>
  </w:footnote>
  <w:footnote w:type="continuationSeparator" w:id="0">
    <w:p w:rsidR="006F3CAB" w:rsidRDefault="006F3CAB" w:rsidP="00C9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9" w:type="dxa"/>
      <w:tblInd w:w="-988" w:type="dxa"/>
      <w:tblLayout w:type="fixed"/>
      <w:tblCellMar>
        <w:left w:w="0" w:type="dxa"/>
        <w:right w:w="0" w:type="dxa"/>
      </w:tblCellMar>
      <w:tblLook w:val="0000" w:firstRow="0" w:lastRow="0" w:firstColumn="0" w:lastColumn="0" w:noHBand="0" w:noVBand="0"/>
    </w:tblPr>
    <w:tblGrid>
      <w:gridCol w:w="4999"/>
      <w:gridCol w:w="3196"/>
      <w:gridCol w:w="1524"/>
    </w:tblGrid>
    <w:tr w:rsidR="00C929E8" w:rsidRPr="0072577E" w:rsidTr="006B48CB">
      <w:trPr>
        <w:cantSplit/>
        <w:trHeight w:val="1611"/>
      </w:trPr>
      <w:tc>
        <w:tcPr>
          <w:tcW w:w="4999" w:type="dxa"/>
          <w:shd w:val="clear" w:color="auto" w:fill="auto"/>
        </w:tcPr>
        <w:p w:rsidR="00C929E8" w:rsidRDefault="00C929E8" w:rsidP="0051339E">
          <w:pPr>
            <w:pStyle w:val="Encabezado"/>
            <w:spacing w:line="120" w:lineRule="atLeast"/>
            <w:jc w:val="both"/>
            <w:rPr>
              <w:position w:val="12"/>
              <w:sz w:val="36"/>
            </w:rPr>
          </w:pPr>
          <w:r>
            <w:rPr>
              <w:noProof/>
              <w:position w:val="12"/>
              <w:sz w:val="36"/>
            </w:rPr>
            <w:drawing>
              <wp:inline distT="0" distB="0" distL="0" distR="0" wp14:anchorId="5A5A517A" wp14:editId="55F48AAA">
                <wp:extent cx="2724150"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876300"/>
                        </a:xfrm>
                        <a:prstGeom prst="rect">
                          <a:avLst/>
                        </a:prstGeom>
                        <a:noFill/>
                        <a:ln>
                          <a:noFill/>
                        </a:ln>
                      </pic:spPr>
                    </pic:pic>
                  </a:graphicData>
                </a:graphic>
              </wp:inline>
            </w:drawing>
          </w:r>
        </w:p>
        <w:p w:rsidR="00C929E8" w:rsidRPr="00D24BE5" w:rsidRDefault="00C929E8" w:rsidP="0051339E">
          <w:pPr>
            <w:pStyle w:val="Encabezado"/>
            <w:spacing w:line="120" w:lineRule="atLeast"/>
            <w:jc w:val="both"/>
            <w:rPr>
              <w:position w:val="12"/>
              <w:sz w:val="36"/>
            </w:rPr>
          </w:pPr>
        </w:p>
      </w:tc>
      <w:tc>
        <w:tcPr>
          <w:tcW w:w="3196" w:type="dxa"/>
          <w:shd w:val="clear" w:color="auto" w:fill="auto"/>
        </w:tcPr>
        <w:p w:rsidR="00C929E8" w:rsidRDefault="00C929E8" w:rsidP="0051339E">
          <w:pPr>
            <w:pStyle w:val="Encabezado"/>
            <w:jc w:val="both"/>
            <w:rPr>
              <w:noProof/>
            </w:rPr>
          </w:pPr>
        </w:p>
        <w:p w:rsidR="00C929E8" w:rsidRPr="00455716" w:rsidRDefault="00C929E8" w:rsidP="0051339E">
          <w:pPr>
            <w:pStyle w:val="Encabezado"/>
            <w:jc w:val="both"/>
            <w:rPr>
              <w:sz w:val="14"/>
            </w:rPr>
          </w:pPr>
        </w:p>
      </w:tc>
      <w:tc>
        <w:tcPr>
          <w:tcW w:w="1524" w:type="dxa"/>
          <w:shd w:val="clear" w:color="auto" w:fill="auto"/>
        </w:tcPr>
        <w:p w:rsidR="00C929E8" w:rsidRPr="0072577E" w:rsidRDefault="00C929E8" w:rsidP="0051339E">
          <w:pPr>
            <w:jc w:val="center"/>
          </w:pPr>
          <w:r>
            <w:rPr>
              <w:noProof/>
              <w:sz w:val="14"/>
            </w:rPr>
            <w:drawing>
              <wp:inline distT="0" distB="0" distL="0" distR="0" wp14:anchorId="21787154" wp14:editId="24A067A1">
                <wp:extent cx="711506"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506" cy="952500"/>
                        </a:xfrm>
                        <a:prstGeom prst="rect">
                          <a:avLst/>
                        </a:prstGeom>
                        <a:noFill/>
                        <a:ln>
                          <a:noFill/>
                        </a:ln>
                      </pic:spPr>
                    </pic:pic>
                  </a:graphicData>
                </a:graphic>
              </wp:inline>
            </w:drawing>
          </w:r>
        </w:p>
      </w:tc>
    </w:tr>
  </w:tbl>
  <w:p w:rsidR="00C929E8" w:rsidRDefault="00C929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BCF"/>
    <w:multiLevelType w:val="hybridMultilevel"/>
    <w:tmpl w:val="CBEA816A"/>
    <w:lvl w:ilvl="0" w:tplc="5368494E">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DB713D"/>
    <w:multiLevelType w:val="multilevel"/>
    <w:tmpl w:val="2136719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695574C"/>
    <w:multiLevelType w:val="multilevel"/>
    <w:tmpl w:val="637A9CF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600" w:hanging="1800"/>
      </w:pPr>
    </w:lvl>
    <w:lvl w:ilvl="5">
      <w:start w:val="1"/>
      <w:numFmt w:val="decimal"/>
      <w:isLgl/>
      <w:lvlText w:val="%1.%2.%3.%4.%5.%6"/>
      <w:lvlJc w:val="left"/>
      <w:pPr>
        <w:ind w:left="4320" w:hanging="2160"/>
      </w:pPr>
    </w:lvl>
    <w:lvl w:ilvl="6">
      <w:start w:val="1"/>
      <w:numFmt w:val="decimal"/>
      <w:isLgl/>
      <w:lvlText w:val="%1.%2.%3.%4.%5.%6.%7"/>
      <w:lvlJc w:val="left"/>
      <w:pPr>
        <w:ind w:left="5040" w:hanging="2520"/>
      </w:pPr>
    </w:lvl>
    <w:lvl w:ilvl="7">
      <w:start w:val="1"/>
      <w:numFmt w:val="decimal"/>
      <w:isLgl/>
      <w:lvlText w:val="%1.%2.%3.%4.%5.%6.%7.%8"/>
      <w:lvlJc w:val="left"/>
      <w:pPr>
        <w:ind w:left="5760" w:hanging="2880"/>
      </w:pPr>
    </w:lvl>
    <w:lvl w:ilvl="8">
      <w:start w:val="1"/>
      <w:numFmt w:val="decimal"/>
      <w:isLgl/>
      <w:lvlText w:val="%1.%2.%3.%4.%5.%6.%7.%8.%9"/>
      <w:lvlJc w:val="left"/>
      <w:pPr>
        <w:ind w:left="6480" w:hanging="3240"/>
      </w:pPr>
    </w:lvl>
  </w:abstractNum>
  <w:abstractNum w:abstractNumId="3">
    <w:nsid w:val="2A105E51"/>
    <w:multiLevelType w:val="multilevel"/>
    <w:tmpl w:val="1B482106"/>
    <w:lvl w:ilvl="0">
      <w:start w:val="1"/>
      <w:numFmt w:val="decimal"/>
      <w:lvlText w:val="%1."/>
      <w:lvlJc w:val="left"/>
      <w:pPr>
        <w:ind w:left="360" w:hanging="360"/>
      </w:pPr>
      <w:rPr>
        <w:rFonts w:hint="default"/>
        <w:color w:val="1F497D" w:themeColor="text2"/>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D2"/>
    <w:rsid w:val="000961C3"/>
    <w:rsid w:val="000A1482"/>
    <w:rsid w:val="000A38DD"/>
    <w:rsid w:val="00103A9A"/>
    <w:rsid w:val="001279C6"/>
    <w:rsid w:val="00154915"/>
    <w:rsid w:val="0016798F"/>
    <w:rsid w:val="00171A09"/>
    <w:rsid w:val="00194572"/>
    <w:rsid w:val="001E3E0C"/>
    <w:rsid w:val="00237DFA"/>
    <w:rsid w:val="002553D4"/>
    <w:rsid w:val="002830E0"/>
    <w:rsid w:val="002B3AB2"/>
    <w:rsid w:val="002B7A97"/>
    <w:rsid w:val="002E2C9E"/>
    <w:rsid w:val="00300B6D"/>
    <w:rsid w:val="00302E5D"/>
    <w:rsid w:val="003451C6"/>
    <w:rsid w:val="003868FE"/>
    <w:rsid w:val="00392E98"/>
    <w:rsid w:val="00431ABA"/>
    <w:rsid w:val="0047219A"/>
    <w:rsid w:val="004B7525"/>
    <w:rsid w:val="004E7843"/>
    <w:rsid w:val="004F24D4"/>
    <w:rsid w:val="004F56B9"/>
    <w:rsid w:val="00515A70"/>
    <w:rsid w:val="005202B7"/>
    <w:rsid w:val="00552032"/>
    <w:rsid w:val="00564E51"/>
    <w:rsid w:val="005C7837"/>
    <w:rsid w:val="005F0EBD"/>
    <w:rsid w:val="00637918"/>
    <w:rsid w:val="006401E3"/>
    <w:rsid w:val="00641A90"/>
    <w:rsid w:val="00653FB7"/>
    <w:rsid w:val="00667E47"/>
    <w:rsid w:val="006B48CB"/>
    <w:rsid w:val="006B553D"/>
    <w:rsid w:val="006C3F27"/>
    <w:rsid w:val="006C6745"/>
    <w:rsid w:val="006D1E7D"/>
    <w:rsid w:val="006D61D3"/>
    <w:rsid w:val="006F3CAB"/>
    <w:rsid w:val="006F4BA4"/>
    <w:rsid w:val="00706D07"/>
    <w:rsid w:val="00781B41"/>
    <w:rsid w:val="00787387"/>
    <w:rsid w:val="00791084"/>
    <w:rsid w:val="007D4A5D"/>
    <w:rsid w:val="00801021"/>
    <w:rsid w:val="008073AD"/>
    <w:rsid w:val="0081025A"/>
    <w:rsid w:val="008565FF"/>
    <w:rsid w:val="008850F1"/>
    <w:rsid w:val="0091061F"/>
    <w:rsid w:val="00991839"/>
    <w:rsid w:val="009E3B84"/>
    <w:rsid w:val="00A30C04"/>
    <w:rsid w:val="00A42F78"/>
    <w:rsid w:val="00AA18BF"/>
    <w:rsid w:val="00B075D1"/>
    <w:rsid w:val="00B20BD7"/>
    <w:rsid w:val="00BA14CB"/>
    <w:rsid w:val="00C00795"/>
    <w:rsid w:val="00C32C3B"/>
    <w:rsid w:val="00C333CD"/>
    <w:rsid w:val="00C539CB"/>
    <w:rsid w:val="00C929E8"/>
    <w:rsid w:val="00CF1ED8"/>
    <w:rsid w:val="00D22119"/>
    <w:rsid w:val="00DA1DD6"/>
    <w:rsid w:val="00DD0DD4"/>
    <w:rsid w:val="00E225E4"/>
    <w:rsid w:val="00E66CF7"/>
    <w:rsid w:val="00E774D2"/>
    <w:rsid w:val="00ED2F19"/>
    <w:rsid w:val="00F038D1"/>
    <w:rsid w:val="00F07CEF"/>
    <w:rsid w:val="00F110F7"/>
    <w:rsid w:val="00F422CC"/>
    <w:rsid w:val="00F837CE"/>
    <w:rsid w:val="00F879C2"/>
    <w:rsid w:val="00FB7276"/>
    <w:rsid w:val="00FF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6"/>
    <w:rPr>
      <w:rFonts w:ascii="Calibri" w:hAnsi="Calibri" w:cs="Times New Roman"/>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4D2"/>
    <w:pPr>
      <w:spacing w:before="100" w:beforeAutospacing="1" w:after="100" w:afterAutospacing="1"/>
    </w:pPr>
  </w:style>
  <w:style w:type="paragraph" w:styleId="Prrafodelista">
    <w:name w:val="List Paragraph"/>
    <w:basedOn w:val="Normal"/>
    <w:uiPriority w:val="34"/>
    <w:qFormat/>
    <w:rsid w:val="0081025A"/>
    <w:pPr>
      <w:spacing w:after="0" w:line="240" w:lineRule="auto"/>
      <w:ind w:left="720"/>
      <w:contextualSpacing/>
    </w:pPr>
    <w:rPr>
      <w:rFonts w:asciiTheme="minorHAnsi" w:hAnsiTheme="minorHAnsi" w:cstheme="minorBidi"/>
      <w:color w:val="auto"/>
      <w:lang w:val="en-US" w:eastAsia="en-US"/>
    </w:rPr>
  </w:style>
  <w:style w:type="paragraph" w:styleId="Encabezado">
    <w:name w:val="header"/>
    <w:basedOn w:val="Normal"/>
    <w:link w:val="EncabezadoCar"/>
    <w:unhideWhenUsed/>
    <w:rsid w:val="00C929E8"/>
    <w:pPr>
      <w:tabs>
        <w:tab w:val="center" w:pos="4252"/>
        <w:tab w:val="right" w:pos="8504"/>
      </w:tabs>
      <w:spacing w:after="0" w:line="240" w:lineRule="auto"/>
    </w:pPr>
  </w:style>
  <w:style w:type="character" w:customStyle="1" w:styleId="EncabezadoCar">
    <w:name w:val="Encabezado Car"/>
    <w:basedOn w:val="Fuentedeprrafopredeter"/>
    <w:link w:val="Encabezado"/>
    <w:rsid w:val="00C929E8"/>
    <w:rPr>
      <w:rFonts w:ascii="Calibri" w:hAnsi="Calibri" w:cs="Times New Roman"/>
      <w:color w:val="000000"/>
      <w:lang w:eastAsia="es-ES"/>
    </w:rPr>
  </w:style>
  <w:style w:type="paragraph" w:styleId="Piedepgina">
    <w:name w:val="footer"/>
    <w:basedOn w:val="Normal"/>
    <w:link w:val="PiedepginaCar"/>
    <w:uiPriority w:val="99"/>
    <w:unhideWhenUsed/>
    <w:rsid w:val="00C929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9E8"/>
    <w:rPr>
      <w:rFonts w:ascii="Calibri" w:hAnsi="Calibri" w:cs="Times New Roman"/>
      <w:color w:val="000000"/>
      <w:lang w:eastAsia="es-ES"/>
    </w:rPr>
  </w:style>
  <w:style w:type="paragraph" w:styleId="Textodeglobo">
    <w:name w:val="Balloon Text"/>
    <w:basedOn w:val="Normal"/>
    <w:link w:val="TextodegloboCar"/>
    <w:uiPriority w:val="99"/>
    <w:semiHidden/>
    <w:unhideWhenUsed/>
    <w:rsid w:val="00A42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F78"/>
    <w:rPr>
      <w:rFonts w:ascii="Tahoma" w:hAnsi="Tahoma" w:cs="Tahoma"/>
      <w:color w:val="000000"/>
      <w:sz w:val="16"/>
      <w:szCs w:val="16"/>
      <w:lang w:eastAsia="es-ES"/>
    </w:rPr>
  </w:style>
  <w:style w:type="character" w:styleId="Refdecomentario">
    <w:name w:val="annotation reference"/>
    <w:basedOn w:val="Fuentedeprrafopredeter"/>
    <w:uiPriority w:val="99"/>
    <w:semiHidden/>
    <w:unhideWhenUsed/>
    <w:rsid w:val="00E225E4"/>
    <w:rPr>
      <w:sz w:val="16"/>
      <w:szCs w:val="16"/>
    </w:rPr>
  </w:style>
  <w:style w:type="paragraph" w:styleId="Textocomentario">
    <w:name w:val="annotation text"/>
    <w:basedOn w:val="Normal"/>
    <w:link w:val="TextocomentarioCar"/>
    <w:uiPriority w:val="99"/>
    <w:semiHidden/>
    <w:unhideWhenUsed/>
    <w:rsid w:val="00E225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5E4"/>
    <w:rPr>
      <w:rFonts w:ascii="Calibri" w:hAnsi="Calibri"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25E4"/>
    <w:rPr>
      <w:b/>
      <w:bCs/>
    </w:rPr>
  </w:style>
  <w:style w:type="character" w:customStyle="1" w:styleId="AsuntodelcomentarioCar">
    <w:name w:val="Asunto del comentario Car"/>
    <w:basedOn w:val="TextocomentarioCar"/>
    <w:link w:val="Asuntodelcomentario"/>
    <w:uiPriority w:val="99"/>
    <w:semiHidden/>
    <w:rsid w:val="00E225E4"/>
    <w:rPr>
      <w:rFonts w:ascii="Calibri" w:hAnsi="Calibri" w:cs="Times New Roman"/>
      <w:b/>
      <w:bCs/>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6"/>
    <w:rPr>
      <w:rFonts w:ascii="Calibri" w:hAnsi="Calibri" w:cs="Times New Roman"/>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4D2"/>
    <w:pPr>
      <w:spacing w:before="100" w:beforeAutospacing="1" w:after="100" w:afterAutospacing="1"/>
    </w:pPr>
  </w:style>
  <w:style w:type="paragraph" w:styleId="Prrafodelista">
    <w:name w:val="List Paragraph"/>
    <w:basedOn w:val="Normal"/>
    <w:uiPriority w:val="34"/>
    <w:qFormat/>
    <w:rsid w:val="0081025A"/>
    <w:pPr>
      <w:spacing w:after="0" w:line="240" w:lineRule="auto"/>
      <w:ind w:left="720"/>
      <w:contextualSpacing/>
    </w:pPr>
    <w:rPr>
      <w:rFonts w:asciiTheme="minorHAnsi" w:hAnsiTheme="minorHAnsi" w:cstheme="minorBidi"/>
      <w:color w:val="auto"/>
      <w:lang w:val="en-US" w:eastAsia="en-US"/>
    </w:rPr>
  </w:style>
  <w:style w:type="paragraph" w:styleId="Encabezado">
    <w:name w:val="header"/>
    <w:basedOn w:val="Normal"/>
    <w:link w:val="EncabezadoCar"/>
    <w:unhideWhenUsed/>
    <w:rsid w:val="00C929E8"/>
    <w:pPr>
      <w:tabs>
        <w:tab w:val="center" w:pos="4252"/>
        <w:tab w:val="right" w:pos="8504"/>
      </w:tabs>
      <w:spacing w:after="0" w:line="240" w:lineRule="auto"/>
    </w:pPr>
  </w:style>
  <w:style w:type="character" w:customStyle="1" w:styleId="EncabezadoCar">
    <w:name w:val="Encabezado Car"/>
    <w:basedOn w:val="Fuentedeprrafopredeter"/>
    <w:link w:val="Encabezado"/>
    <w:rsid w:val="00C929E8"/>
    <w:rPr>
      <w:rFonts w:ascii="Calibri" w:hAnsi="Calibri" w:cs="Times New Roman"/>
      <w:color w:val="000000"/>
      <w:lang w:eastAsia="es-ES"/>
    </w:rPr>
  </w:style>
  <w:style w:type="paragraph" w:styleId="Piedepgina">
    <w:name w:val="footer"/>
    <w:basedOn w:val="Normal"/>
    <w:link w:val="PiedepginaCar"/>
    <w:uiPriority w:val="99"/>
    <w:unhideWhenUsed/>
    <w:rsid w:val="00C929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9E8"/>
    <w:rPr>
      <w:rFonts w:ascii="Calibri" w:hAnsi="Calibri" w:cs="Times New Roman"/>
      <w:color w:val="000000"/>
      <w:lang w:eastAsia="es-ES"/>
    </w:rPr>
  </w:style>
  <w:style w:type="paragraph" w:styleId="Textodeglobo">
    <w:name w:val="Balloon Text"/>
    <w:basedOn w:val="Normal"/>
    <w:link w:val="TextodegloboCar"/>
    <w:uiPriority w:val="99"/>
    <w:semiHidden/>
    <w:unhideWhenUsed/>
    <w:rsid w:val="00A42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F78"/>
    <w:rPr>
      <w:rFonts w:ascii="Tahoma" w:hAnsi="Tahoma" w:cs="Tahoma"/>
      <w:color w:val="000000"/>
      <w:sz w:val="16"/>
      <w:szCs w:val="16"/>
      <w:lang w:eastAsia="es-ES"/>
    </w:rPr>
  </w:style>
  <w:style w:type="character" w:styleId="Refdecomentario">
    <w:name w:val="annotation reference"/>
    <w:basedOn w:val="Fuentedeprrafopredeter"/>
    <w:uiPriority w:val="99"/>
    <w:semiHidden/>
    <w:unhideWhenUsed/>
    <w:rsid w:val="00E225E4"/>
    <w:rPr>
      <w:sz w:val="16"/>
      <w:szCs w:val="16"/>
    </w:rPr>
  </w:style>
  <w:style w:type="paragraph" w:styleId="Textocomentario">
    <w:name w:val="annotation text"/>
    <w:basedOn w:val="Normal"/>
    <w:link w:val="TextocomentarioCar"/>
    <w:uiPriority w:val="99"/>
    <w:semiHidden/>
    <w:unhideWhenUsed/>
    <w:rsid w:val="00E225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5E4"/>
    <w:rPr>
      <w:rFonts w:ascii="Calibri" w:hAnsi="Calibri"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225E4"/>
    <w:rPr>
      <w:b/>
      <w:bCs/>
    </w:rPr>
  </w:style>
  <w:style w:type="character" w:customStyle="1" w:styleId="AsuntodelcomentarioCar">
    <w:name w:val="Asunto del comentario Car"/>
    <w:basedOn w:val="TextocomentarioCar"/>
    <w:link w:val="Asuntodelcomentario"/>
    <w:uiPriority w:val="99"/>
    <w:semiHidden/>
    <w:rsid w:val="00E225E4"/>
    <w:rPr>
      <w:rFonts w:ascii="Calibri" w:hAnsi="Calibri"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383">
      <w:bodyDiv w:val="1"/>
      <w:marLeft w:val="0"/>
      <w:marRight w:val="0"/>
      <w:marTop w:val="0"/>
      <w:marBottom w:val="0"/>
      <w:divBdr>
        <w:top w:val="none" w:sz="0" w:space="0" w:color="auto"/>
        <w:left w:val="none" w:sz="0" w:space="0" w:color="auto"/>
        <w:bottom w:val="none" w:sz="0" w:space="0" w:color="auto"/>
        <w:right w:val="none" w:sz="0" w:space="0" w:color="auto"/>
      </w:divBdr>
    </w:div>
    <w:div w:id="376666649">
      <w:bodyDiv w:val="1"/>
      <w:marLeft w:val="0"/>
      <w:marRight w:val="0"/>
      <w:marTop w:val="0"/>
      <w:marBottom w:val="0"/>
      <w:divBdr>
        <w:top w:val="none" w:sz="0" w:space="0" w:color="auto"/>
        <w:left w:val="none" w:sz="0" w:space="0" w:color="auto"/>
        <w:bottom w:val="none" w:sz="0" w:space="0" w:color="auto"/>
        <w:right w:val="none" w:sz="0" w:space="0" w:color="auto"/>
      </w:divBdr>
    </w:div>
    <w:div w:id="610866058">
      <w:bodyDiv w:val="1"/>
      <w:marLeft w:val="0"/>
      <w:marRight w:val="0"/>
      <w:marTop w:val="0"/>
      <w:marBottom w:val="0"/>
      <w:divBdr>
        <w:top w:val="none" w:sz="0" w:space="0" w:color="auto"/>
        <w:left w:val="none" w:sz="0" w:space="0" w:color="auto"/>
        <w:bottom w:val="none" w:sz="0" w:space="0" w:color="auto"/>
        <w:right w:val="none" w:sz="0" w:space="0" w:color="auto"/>
      </w:divBdr>
    </w:div>
    <w:div w:id="642807856">
      <w:bodyDiv w:val="1"/>
      <w:marLeft w:val="0"/>
      <w:marRight w:val="0"/>
      <w:marTop w:val="0"/>
      <w:marBottom w:val="0"/>
      <w:divBdr>
        <w:top w:val="none" w:sz="0" w:space="0" w:color="auto"/>
        <w:left w:val="none" w:sz="0" w:space="0" w:color="auto"/>
        <w:bottom w:val="none" w:sz="0" w:space="0" w:color="auto"/>
        <w:right w:val="none" w:sz="0" w:space="0" w:color="auto"/>
      </w:divBdr>
    </w:div>
    <w:div w:id="1327857566">
      <w:bodyDiv w:val="1"/>
      <w:marLeft w:val="0"/>
      <w:marRight w:val="0"/>
      <w:marTop w:val="0"/>
      <w:marBottom w:val="0"/>
      <w:divBdr>
        <w:top w:val="none" w:sz="0" w:space="0" w:color="auto"/>
        <w:left w:val="none" w:sz="0" w:space="0" w:color="auto"/>
        <w:bottom w:val="none" w:sz="0" w:space="0" w:color="auto"/>
        <w:right w:val="none" w:sz="0" w:space="0" w:color="auto"/>
      </w:divBdr>
    </w:div>
    <w:div w:id="1382558762">
      <w:bodyDiv w:val="1"/>
      <w:marLeft w:val="0"/>
      <w:marRight w:val="0"/>
      <w:marTop w:val="0"/>
      <w:marBottom w:val="0"/>
      <w:divBdr>
        <w:top w:val="none" w:sz="0" w:space="0" w:color="auto"/>
        <w:left w:val="none" w:sz="0" w:space="0" w:color="auto"/>
        <w:bottom w:val="none" w:sz="0" w:space="0" w:color="auto"/>
        <w:right w:val="none" w:sz="0" w:space="0" w:color="auto"/>
      </w:divBdr>
    </w:div>
    <w:div w:id="1430395405">
      <w:bodyDiv w:val="1"/>
      <w:marLeft w:val="0"/>
      <w:marRight w:val="0"/>
      <w:marTop w:val="0"/>
      <w:marBottom w:val="0"/>
      <w:divBdr>
        <w:top w:val="none" w:sz="0" w:space="0" w:color="auto"/>
        <w:left w:val="none" w:sz="0" w:space="0" w:color="auto"/>
        <w:bottom w:val="none" w:sz="0" w:space="0" w:color="auto"/>
        <w:right w:val="none" w:sz="0" w:space="0" w:color="auto"/>
      </w:divBdr>
    </w:div>
    <w:div w:id="1602639135">
      <w:bodyDiv w:val="1"/>
      <w:marLeft w:val="0"/>
      <w:marRight w:val="0"/>
      <w:marTop w:val="0"/>
      <w:marBottom w:val="0"/>
      <w:divBdr>
        <w:top w:val="none" w:sz="0" w:space="0" w:color="auto"/>
        <w:left w:val="none" w:sz="0" w:space="0" w:color="auto"/>
        <w:bottom w:val="none" w:sz="0" w:space="0" w:color="auto"/>
        <w:right w:val="none" w:sz="0" w:space="0" w:color="auto"/>
      </w:divBdr>
    </w:div>
    <w:div w:id="1604801260">
      <w:bodyDiv w:val="1"/>
      <w:marLeft w:val="0"/>
      <w:marRight w:val="0"/>
      <w:marTop w:val="0"/>
      <w:marBottom w:val="0"/>
      <w:divBdr>
        <w:top w:val="none" w:sz="0" w:space="0" w:color="auto"/>
        <w:left w:val="none" w:sz="0" w:space="0" w:color="auto"/>
        <w:bottom w:val="none" w:sz="0" w:space="0" w:color="auto"/>
        <w:right w:val="none" w:sz="0" w:space="0" w:color="auto"/>
      </w:divBdr>
    </w:div>
    <w:div w:id="1885288066">
      <w:bodyDiv w:val="1"/>
      <w:marLeft w:val="0"/>
      <w:marRight w:val="0"/>
      <w:marTop w:val="0"/>
      <w:marBottom w:val="0"/>
      <w:divBdr>
        <w:top w:val="none" w:sz="0" w:space="0" w:color="auto"/>
        <w:left w:val="none" w:sz="0" w:space="0" w:color="auto"/>
        <w:bottom w:val="none" w:sz="0" w:space="0" w:color="auto"/>
        <w:right w:val="none" w:sz="0" w:space="0" w:color="auto"/>
      </w:divBdr>
    </w:div>
    <w:div w:id="1933195673">
      <w:bodyDiv w:val="1"/>
      <w:marLeft w:val="0"/>
      <w:marRight w:val="0"/>
      <w:marTop w:val="0"/>
      <w:marBottom w:val="0"/>
      <w:divBdr>
        <w:top w:val="none" w:sz="0" w:space="0" w:color="auto"/>
        <w:left w:val="none" w:sz="0" w:space="0" w:color="auto"/>
        <w:bottom w:val="none" w:sz="0" w:space="0" w:color="auto"/>
        <w:right w:val="none" w:sz="0" w:space="0" w:color="auto"/>
      </w:divBdr>
    </w:div>
    <w:div w:id="2010214073">
      <w:bodyDiv w:val="1"/>
      <w:marLeft w:val="0"/>
      <w:marRight w:val="0"/>
      <w:marTop w:val="0"/>
      <w:marBottom w:val="0"/>
      <w:divBdr>
        <w:top w:val="none" w:sz="0" w:space="0" w:color="auto"/>
        <w:left w:val="none" w:sz="0" w:space="0" w:color="auto"/>
        <w:bottom w:val="none" w:sz="0" w:space="0" w:color="auto"/>
        <w:right w:val="none" w:sz="0" w:space="0" w:color="auto"/>
      </w:divBdr>
    </w:div>
    <w:div w:id="20200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EDE6-5C65-49E7-9419-94C0E549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4481</Words>
  <Characters>24648</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Ministerio de Economía y Competitividad</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 Vega de Seoane, Victoria</dc:creator>
  <cp:lastModifiedBy>pcinv0</cp:lastModifiedBy>
  <cp:revision>2</cp:revision>
  <dcterms:created xsi:type="dcterms:W3CDTF">2018-09-05T08:12:00Z</dcterms:created>
  <dcterms:modified xsi:type="dcterms:W3CDTF">2018-09-05T08:12:00Z</dcterms:modified>
</cp:coreProperties>
</file>